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29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3556"/>
      </w:tblGrid>
      <w:tr w:rsidR="00FE06A7" w:rsidRPr="00663F25" w14:paraId="341244A2" w14:textId="77777777" w:rsidTr="00963F96">
        <w:trPr>
          <w:trHeight w:val="103"/>
        </w:trPr>
        <w:tc>
          <w:tcPr>
            <w:tcW w:w="9356" w:type="dxa"/>
            <w:vAlign w:val="center"/>
          </w:tcPr>
          <w:p w14:paraId="5760021C" w14:textId="1243FE79" w:rsidR="003F0F98" w:rsidRPr="007F626F" w:rsidRDefault="00396149" w:rsidP="00166BE7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7F626F">
              <w:rPr>
                <w:rFonts w:asciiTheme="minorHAnsi" w:hAnsiTheme="minorHAnsi" w:cs="Times New Roman"/>
                <w:b/>
                <w:sz w:val="26"/>
                <w:szCs w:val="26"/>
              </w:rPr>
              <w:t>Výzva na pr</w:t>
            </w:r>
            <w:r w:rsidR="0035308A" w:rsidRPr="007F626F">
              <w:rPr>
                <w:rFonts w:asciiTheme="minorHAnsi" w:hAnsiTheme="minorHAnsi" w:cs="Times New Roman"/>
                <w:b/>
                <w:sz w:val="26"/>
                <w:szCs w:val="26"/>
              </w:rPr>
              <w:t>edloženie ponuky</w:t>
            </w:r>
          </w:p>
          <w:p w14:paraId="193DDA78" w14:textId="1D3C52E7" w:rsidR="003F0F98" w:rsidRPr="00663F25" w:rsidRDefault="003F0F98" w:rsidP="00166BE7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v zmysle §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117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ods.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zákona č.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343/2015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Z.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z. o verejnom obstarávaní a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zmene a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doplnení niektorých zákonov</w:t>
            </w:r>
          </w:p>
          <w:p w14:paraId="0339E594" w14:textId="77777777" w:rsidR="00527829" w:rsidRPr="00663F25" w:rsidRDefault="00527829" w:rsidP="00166BE7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4967"/>
              <w:gridCol w:w="984"/>
              <w:gridCol w:w="1265"/>
            </w:tblGrid>
            <w:tr w:rsidR="00BD3A60" w:rsidRPr="00663F25" w14:paraId="039AA72D" w14:textId="77777777" w:rsidTr="00963F96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74F2EF74" w14:textId="77777777" w:rsidR="00BD3A60" w:rsidRPr="00663F25" w:rsidRDefault="00B20AA9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Názov verejného obstarávateľa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1B2B42F1" w:rsidR="00BD3A60" w:rsidRPr="00663F25" w:rsidRDefault="00B637F6" w:rsidP="0070051C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Slovenská konsolidačná, </w:t>
                  </w:r>
                  <w:proofErr w:type="spellStart"/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a.s</w:t>
                  </w:r>
                  <w:proofErr w:type="spellEnd"/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.</w:t>
                  </w:r>
                  <w:r w:rsidR="00BE6001"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14:paraId="31D997A0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663F25" w14:paraId="05642568" w14:textId="77777777" w:rsidTr="00963F96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5F0C18DA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Poštová adresa</w:t>
                  </w:r>
                </w:p>
              </w:tc>
              <w:tc>
                <w:tcPr>
                  <w:tcW w:w="4967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Cintorínska </w:t>
                  </w:r>
                  <w:r w:rsidR="00797F8A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č. </w:t>
                  </w: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984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14:paraId="1F0B08FA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663F25" w14:paraId="31F83A61" w14:textId="77777777" w:rsidTr="00963F96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6DFBBE4D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Mesto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Bratislava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1265" w:type="dxa"/>
                </w:tcPr>
                <w:p w14:paraId="741A59E9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814 99</w:t>
                  </w:r>
                </w:p>
              </w:tc>
            </w:tr>
            <w:tr w:rsidR="00BD3A60" w:rsidRPr="00663F25" w14:paraId="55A90777" w14:textId="77777777" w:rsidTr="00963F96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1AE46319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IČO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35776005</w:t>
                  </w:r>
                </w:p>
              </w:tc>
              <w:tc>
                <w:tcPr>
                  <w:tcW w:w="9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65" w:type="dxa"/>
                  <w:tcBorders>
                    <w:left w:val="nil"/>
                  </w:tcBorders>
                </w:tcPr>
                <w:p w14:paraId="300BF454" w14:textId="77777777" w:rsidR="00BD3A60" w:rsidRPr="00663F25" w:rsidRDefault="00BD3A6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316B55" w:rsidRPr="00663F25" w14:paraId="21FBAD6C" w14:textId="77777777" w:rsidTr="00963F96">
              <w:trPr>
                <w:trHeight w:val="366"/>
              </w:trPr>
              <w:tc>
                <w:tcPr>
                  <w:tcW w:w="1981" w:type="dxa"/>
                  <w:vAlign w:val="bottom"/>
                </w:tcPr>
                <w:p w14:paraId="50904EF9" w14:textId="77777777" w:rsidR="00316B55" w:rsidRPr="00663F25" w:rsidRDefault="00214230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Kontaktná osoba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CD680" w14:textId="2781FF20" w:rsidR="00316B55" w:rsidRPr="00663F25" w:rsidRDefault="00663F25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  <w:sz w:val="22"/>
                      <w:szCs w:val="22"/>
                    </w:rPr>
                  </w:pPr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Ján </w:t>
                  </w:r>
                  <w:proofErr w:type="spellStart"/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Ribá</w:t>
                  </w:r>
                  <w:r w:rsidR="00570CE6"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rszki</w:t>
                  </w:r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,</w:t>
                  </w:r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color w:val="auto"/>
                      <w:sz w:val="22"/>
                      <w:szCs w:val="22"/>
                      <w:u w:val="none"/>
                    </w:rPr>
                    <w:t>e</w:t>
                  </w:r>
                  <w:proofErr w:type="spellEnd"/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color w:val="auto"/>
                      <w:sz w:val="22"/>
                      <w:szCs w:val="22"/>
                      <w:u w:val="none"/>
                    </w:rPr>
                    <w:t>-mail:</w:t>
                  </w:r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B339A2" w:rsidRPr="00663F25">
                      <w:rPr>
                        <w:rStyle w:val="Hypertextovprepojenie"/>
                        <w:rFonts w:asciiTheme="minorHAnsi" w:hAnsiTheme="minorHAnsi" w:cs="Times New Roman"/>
                        <w:sz w:val="22"/>
                        <w:szCs w:val="22"/>
                      </w:rPr>
                      <w:t>jan.ribarszki@konsolidacna.sk</w:t>
                    </w:r>
                  </w:hyperlink>
                  <w:r w:rsidR="00FD2985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4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35DD686" w14:textId="1F960C03" w:rsidR="00CE519D" w:rsidRPr="00663F25" w:rsidRDefault="002A2CA6" w:rsidP="0070051C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Tel: </w:t>
                  </w:r>
                  <w:r w:rsidR="00E8296C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02/</w:t>
                  </w:r>
                  <w:r w:rsidR="0058423F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57 289 192</w:t>
                  </w:r>
                </w:p>
              </w:tc>
            </w:tr>
          </w:tbl>
          <w:p w14:paraId="4F38BA70" w14:textId="77777777" w:rsidR="00BD3A60" w:rsidRPr="00663F25" w:rsidRDefault="00BD3A60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663F25" w:rsidRDefault="00FE06A7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7B4E495" w14:textId="77777777" w:rsidR="00B2131E" w:rsidRPr="00663F25" w:rsidRDefault="00B2131E" w:rsidP="000A7639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123D7B04" w14:textId="3F69C4EF" w:rsidR="00766EA0" w:rsidRPr="00663F25" w:rsidRDefault="007A4603" w:rsidP="000A7639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663F25">
        <w:rPr>
          <w:rFonts w:asciiTheme="minorHAnsi" w:hAnsiTheme="minorHAnsi" w:cstheme="minorHAnsi"/>
          <w:b/>
          <w:bCs/>
        </w:rPr>
        <w:t>P</w:t>
      </w:r>
      <w:r w:rsidR="00766EA0" w:rsidRPr="00663F25">
        <w:rPr>
          <w:rFonts w:asciiTheme="minorHAnsi" w:hAnsiTheme="minorHAnsi" w:cstheme="minorHAnsi"/>
          <w:b/>
          <w:bCs/>
        </w:rPr>
        <w:t>red</w:t>
      </w:r>
      <w:r w:rsidRPr="00663F25">
        <w:rPr>
          <w:rFonts w:asciiTheme="minorHAnsi" w:hAnsiTheme="minorHAnsi" w:cstheme="minorHAnsi"/>
          <w:b/>
          <w:bCs/>
        </w:rPr>
        <w:t>me</w:t>
      </w:r>
      <w:r w:rsidR="00766EA0" w:rsidRPr="00663F25">
        <w:rPr>
          <w:rFonts w:asciiTheme="minorHAnsi" w:hAnsiTheme="minorHAnsi" w:cstheme="minorHAnsi"/>
          <w:b/>
          <w:bCs/>
        </w:rPr>
        <w:t>t zákazky</w:t>
      </w:r>
    </w:p>
    <w:p w14:paraId="2EB4BE52" w14:textId="0FDB102E" w:rsidR="00DB32D9" w:rsidRPr="004C3D8D" w:rsidRDefault="004C3D8D" w:rsidP="00963F96">
      <w:pPr>
        <w:spacing w:after="0" w:line="240" w:lineRule="auto"/>
        <w:ind w:left="426" w:right="-59"/>
        <w:jc w:val="both"/>
        <w:rPr>
          <w:bCs/>
        </w:rPr>
      </w:pPr>
      <w:r w:rsidRPr="004C3D8D">
        <w:rPr>
          <w:bCs/>
        </w:rPr>
        <w:t>Predmetom zákazky je obstaranie 2 ks Interných bezpečnostných firewallov NGFW (</w:t>
      </w:r>
      <w:proofErr w:type="spellStart"/>
      <w:r w:rsidRPr="004C3D8D">
        <w:rPr>
          <w:bCs/>
        </w:rPr>
        <w:t>Next</w:t>
      </w:r>
      <w:proofErr w:type="spellEnd"/>
      <w:r w:rsidRPr="004C3D8D">
        <w:rPr>
          <w:bCs/>
        </w:rPr>
        <w:t xml:space="preserve"> </w:t>
      </w:r>
      <w:proofErr w:type="spellStart"/>
      <w:r w:rsidRPr="004C3D8D">
        <w:rPr>
          <w:bCs/>
        </w:rPr>
        <w:t>Generation</w:t>
      </w:r>
      <w:proofErr w:type="spellEnd"/>
      <w:r w:rsidRPr="004C3D8D">
        <w:rPr>
          <w:bCs/>
        </w:rPr>
        <w:t xml:space="preserve"> Firewall)</w:t>
      </w:r>
      <w:r>
        <w:rPr>
          <w:bCs/>
        </w:rPr>
        <w:t xml:space="preserve"> </w:t>
      </w:r>
      <w:r w:rsidR="00DB32D9" w:rsidRPr="004C3D8D">
        <w:rPr>
          <w:bCs/>
        </w:rPr>
        <w:t xml:space="preserve">na obdobie 36 mesiacov pre Slovenskú konsolidačnú, </w:t>
      </w:r>
      <w:proofErr w:type="spellStart"/>
      <w:r w:rsidR="00DB32D9" w:rsidRPr="004C3D8D">
        <w:rPr>
          <w:bCs/>
        </w:rPr>
        <w:t>a.s</w:t>
      </w:r>
      <w:proofErr w:type="spellEnd"/>
      <w:r w:rsidR="00DB32D9" w:rsidRPr="004C3D8D">
        <w:rPr>
          <w:bCs/>
        </w:rPr>
        <w:t>. (ďalej aj „verejný obstarávateľ“).</w:t>
      </w:r>
    </w:p>
    <w:p w14:paraId="491A83FD" w14:textId="77777777" w:rsidR="00BE6001" w:rsidRPr="00663F25" w:rsidRDefault="00BE6001" w:rsidP="000A7639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bCs/>
        </w:rPr>
      </w:pPr>
    </w:p>
    <w:p w14:paraId="04EBDDC5" w14:textId="17903DC5" w:rsidR="00527829" w:rsidRPr="00663F25" w:rsidRDefault="00527829" w:rsidP="000A763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b/>
          <w:bCs/>
          <w:iCs/>
        </w:rPr>
      </w:pPr>
      <w:r w:rsidRPr="00663F25">
        <w:rPr>
          <w:rFonts w:asciiTheme="minorHAnsi" w:hAnsiTheme="minorHAnsi"/>
          <w:b/>
          <w:bCs/>
          <w:iCs/>
        </w:rPr>
        <w:t>Technická špecifikácia</w:t>
      </w:r>
    </w:p>
    <w:p w14:paraId="41ACCA5C" w14:textId="79D3F21C" w:rsidR="00527829" w:rsidRPr="00663F25" w:rsidRDefault="0065683A" w:rsidP="00963F96">
      <w:pPr>
        <w:spacing w:after="0" w:line="240" w:lineRule="auto"/>
        <w:ind w:left="360" w:right="-59"/>
        <w:jc w:val="both"/>
        <w:rPr>
          <w:rFonts w:asciiTheme="minorHAnsi" w:hAnsiTheme="minorHAnsi"/>
          <w:bCs/>
          <w:iCs/>
        </w:rPr>
      </w:pPr>
      <w:r w:rsidRPr="00663F25">
        <w:rPr>
          <w:rFonts w:asciiTheme="minorHAnsi" w:hAnsiTheme="minorHAnsi"/>
        </w:rPr>
        <w:t xml:space="preserve">Verejný obstarávateľ </w:t>
      </w:r>
      <w:r w:rsidR="00527829" w:rsidRPr="00663F25">
        <w:rPr>
          <w:rFonts w:asciiTheme="minorHAnsi" w:hAnsiTheme="minorHAnsi"/>
        </w:rPr>
        <w:t xml:space="preserve">obstaráva </w:t>
      </w:r>
      <w:r w:rsidR="004C3D8D">
        <w:rPr>
          <w:rFonts w:asciiTheme="minorHAnsi" w:hAnsiTheme="minorHAnsi"/>
        </w:rPr>
        <w:t xml:space="preserve">2 ks </w:t>
      </w:r>
      <w:r w:rsidR="004C3D8D" w:rsidRPr="004C3D8D">
        <w:rPr>
          <w:bCs/>
        </w:rPr>
        <w:t>Interných bezpečnostných firewallov NGFW</w:t>
      </w:r>
      <w:r w:rsidR="004C3D8D" w:rsidRPr="00663F25">
        <w:rPr>
          <w:rFonts w:asciiTheme="minorHAnsi" w:hAnsiTheme="minorHAnsi" w:cstheme="minorHAnsi"/>
        </w:rPr>
        <w:t xml:space="preserve"> </w:t>
      </w:r>
      <w:r w:rsidR="00DB32D9" w:rsidRPr="00663F25">
        <w:rPr>
          <w:rFonts w:asciiTheme="minorHAnsi" w:hAnsiTheme="minorHAnsi"/>
        </w:rPr>
        <w:t>s </w:t>
      </w:r>
      <w:r w:rsidR="000A7639" w:rsidRPr="00663F25">
        <w:rPr>
          <w:rFonts w:asciiTheme="minorHAnsi" w:hAnsiTheme="minorHAnsi"/>
        </w:rPr>
        <w:t>nasledovn</w:t>
      </w:r>
      <w:r w:rsidR="00DB32D9" w:rsidRPr="00663F25">
        <w:rPr>
          <w:rFonts w:asciiTheme="minorHAnsi" w:hAnsiTheme="minorHAnsi"/>
        </w:rPr>
        <w:t xml:space="preserve">ou </w:t>
      </w:r>
      <w:r w:rsidR="00663F25" w:rsidRPr="00663F25">
        <w:rPr>
          <w:rFonts w:asciiTheme="minorHAnsi" w:hAnsiTheme="minorHAnsi"/>
        </w:rPr>
        <w:t>technickou š</w:t>
      </w:r>
      <w:r w:rsidR="00DB32D9" w:rsidRPr="00663F25">
        <w:rPr>
          <w:rFonts w:asciiTheme="minorHAnsi" w:hAnsiTheme="minorHAnsi"/>
        </w:rPr>
        <w:t>pecifikáciou:</w:t>
      </w:r>
    </w:p>
    <w:p w14:paraId="489CB3A4" w14:textId="77777777" w:rsidR="004C3D8D" w:rsidRPr="00883905" w:rsidRDefault="004C3D8D" w:rsidP="004C3D8D">
      <w:pPr>
        <w:tabs>
          <w:tab w:val="left" w:pos="1260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4C3D8D" w:rsidRPr="00883905" w14:paraId="45B702AE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3EA47205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Základné požiadavky:</w:t>
            </w:r>
          </w:p>
        </w:tc>
      </w:tr>
      <w:tr w:rsidR="004C3D8D" w:rsidRPr="00883905" w14:paraId="18FE1334" w14:textId="77777777" w:rsidTr="00963F96">
        <w:trPr>
          <w:trHeight w:val="1020"/>
        </w:trPr>
        <w:tc>
          <w:tcPr>
            <w:tcW w:w="8930" w:type="dxa"/>
            <w:shd w:val="clear" w:color="auto" w:fill="auto"/>
            <w:vAlign w:val="bottom"/>
            <w:hideMark/>
          </w:tcPr>
          <w:p w14:paraId="18EEB763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Bezpečnostné zariadenie typu firewall (ďalej </w:t>
            </w:r>
            <w:r>
              <w:rPr>
                <w:rFonts w:asciiTheme="minorHAnsi" w:hAnsiTheme="minorHAnsi" w:cstheme="minorHAnsi"/>
                <w:color w:val="000000"/>
              </w:rPr>
              <w:t>aj „</w:t>
            </w:r>
            <w:r w:rsidRPr="00883905">
              <w:rPr>
                <w:rFonts w:asciiTheme="minorHAnsi" w:hAnsiTheme="minorHAnsi" w:cstheme="minorHAnsi"/>
                <w:color w:val="000000"/>
              </w:rPr>
              <w:t>FW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  <w:r w:rsidRPr="00883905">
              <w:rPr>
                <w:rFonts w:asciiTheme="minorHAnsi" w:hAnsiTheme="minorHAnsi" w:cstheme="minorHAnsi"/>
                <w:color w:val="000000"/>
              </w:rPr>
              <w:t xml:space="preserve">) musí byť ako celok zložený z komponentov jedného výrobcu, vrátane všetkých poskytovaných funkcionalít typu IPS, AV, AS signatúr, databáz pre URL kategorizáciu,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definícií a pod. Zároveň musí byť týmto jedným výrobcom zaistená podpora minimálne po dobu plánovanej životnosti FW. </w:t>
            </w:r>
            <w:r>
              <w:rPr>
                <w:rFonts w:asciiTheme="minorHAnsi" w:hAnsiTheme="minorHAnsi" w:cstheme="minorHAnsi"/>
                <w:color w:val="000000"/>
              </w:rPr>
              <w:t>Verejný o</w:t>
            </w:r>
            <w:r w:rsidRPr="00883905">
              <w:rPr>
                <w:rFonts w:asciiTheme="minorHAnsi" w:hAnsiTheme="minorHAnsi" w:cstheme="minorHAnsi"/>
                <w:color w:val="000000"/>
              </w:rPr>
              <w:t>bstarávateľ požaduje dodávku dvoch zariadení v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 xml:space="preserve">HA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clustri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00BF30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6337B3E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33E521A5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57851C1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Požiadavky na HW architektúru:</w:t>
            </w:r>
          </w:p>
        </w:tc>
      </w:tr>
      <w:tr w:rsidR="004C3D8D" w:rsidRPr="00883905" w14:paraId="11EA25B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8488A2F" w14:textId="53A8D2D0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Všetky parametre priepustnosti musí dodávateľ uvádzať v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real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world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mix paketoch, tzv. "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Application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mix"</w:t>
            </w:r>
            <w:r w:rsidR="003620A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3567D67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EB57BAD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byť typu 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. </w:t>
            </w:r>
            <w:r>
              <w:rPr>
                <w:rFonts w:asciiTheme="minorHAnsi" w:hAnsiTheme="minorHAnsi" w:cstheme="minorHAnsi"/>
                <w:color w:val="000000"/>
              </w:rPr>
              <w:t>Verejný o</w:t>
            </w:r>
            <w:r w:rsidRPr="00883905">
              <w:rPr>
                <w:rFonts w:asciiTheme="minorHAnsi" w:hAnsiTheme="minorHAnsi" w:cstheme="minorHAnsi"/>
                <w:color w:val="000000"/>
              </w:rPr>
              <w:t xml:space="preserve">bstarávateľ požaduje dodávku dvoch zariadení v HA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clustri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63E7EE0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5815C54A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Modul pre spracovanie dát musí byť v architektúre firewallu hardwarovo oddelený od ďalších podporných modulov (správa zariadenia a riadiaci modul pre podporné sieťové činnosti), aby nemohlo dôjsť k ich vzájomnému ovplyvneniu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A41444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6962CC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jeden dedikovaný port pre správu pomocou konzoly pre prístup k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CLI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F4DADB7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4E5648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minimálne 4 SFP dátové rozhrania s rýchlosťou 1Gb / s a ​​4 SFP+ dátové rozhrania s rýchlosťou 10Gb / 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D5F5D5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20DFAE9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aspoň jeden dedikovaný OOB management port pre plnohodnotnú správu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EA1BCA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E8BA76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byť schopný ukladať "logovať" údaje na interný SSD disk s veľkosťou minimálne 240 GB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B7C03B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DCF79A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agregáciu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portov pomocou protokolu 802.3ad (LACP)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22F5AF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FA6845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byť rozmerovo kompatibilný s 19 "rozvádzačom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8A4D2FD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DC278E6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dva nezávislé redundantné zdroje napájania AC 230V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EBCB0F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63F200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00695BB8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7DCE5D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Požiadavky na </w:t>
            </w: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High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Availability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(HA):</w:t>
            </w:r>
          </w:p>
        </w:tc>
      </w:tr>
      <w:tr w:rsidR="004C3D8D" w:rsidRPr="00883905" w14:paraId="746D4C4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4F05EAF" w14:textId="6B55EF63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režim HA v móde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Active-Active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zložený aspoň z dvoch zariadení</w:t>
            </w:r>
            <w:r w:rsidR="003620A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A8806D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014D6FA" w14:textId="77E83770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režim HA v móde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Active-Standby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zložený aspoň z dvoch zariadení</w:t>
            </w:r>
            <w:r w:rsidR="003620A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DF6CFF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F7C488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režim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clusteringu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využiteľný pre prípadné dodatočné zvýšenie priepustnosti</w:t>
            </w:r>
          </w:p>
        </w:tc>
      </w:tr>
      <w:tr w:rsidR="004C3D8D" w:rsidRPr="00883905" w14:paraId="1796C74C" w14:textId="77777777" w:rsidTr="00963F96">
        <w:trPr>
          <w:trHeight w:val="765"/>
        </w:trPr>
        <w:tc>
          <w:tcPr>
            <w:tcW w:w="8930" w:type="dxa"/>
            <w:shd w:val="clear" w:color="auto" w:fill="auto"/>
            <w:vAlign w:val="bottom"/>
            <w:hideMark/>
          </w:tcPr>
          <w:p w14:paraId="1093F7D1" w14:textId="1472FB39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lastRenderedPageBreak/>
              <w:t>V oboch typoch HA musia byť všetky informácie o prebiehajúcej prevádzke synchronizované tak, aby pri výpadku jedného z boxov nedošlo k strate informácií NAT a k prerušeniu aktívnych spojení prevádzky typu TCP aj UDP prechádzajúceho cez FW</w:t>
            </w:r>
            <w:r w:rsidR="003620A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864B6AF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E687532" w14:textId="2E5D4CD2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byť schopný vykonať HA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failover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na základe stavu interface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up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down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), nedostupnosti druhého FW v HA, nedostupnosti špecifikovanej IP adresy</w:t>
            </w:r>
            <w:r w:rsidR="003620A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3FE39B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AC1484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3AD79084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5AF9C3C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Všeobecné výkonové parametre:</w:t>
            </w:r>
          </w:p>
        </w:tc>
      </w:tr>
      <w:tr w:rsidR="004C3D8D" w:rsidRPr="00883905" w14:paraId="1462429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ACFE3C7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Priepustnosť firewallu pri plnej aplikačnej kontrole musí dosahovať hodnoty aspoň 2 Gb / s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mix)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6B8D685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8A1EAC9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Priepustnosť firewallu pri plnej aplikačnej kontrole a zapnutí všetkých dostupných signatúr IPS a AV musí dosahovať hodnoty aspoň 1,2 Gb / s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mix)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90352A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C0A7A5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Minimálny počet súbežných spojení musí dosahovať hodnoty aspoň 190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000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50F9A57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F860F8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Minimálny počet nových spojení za sekundu musí byť minimálne 12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500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5B23CE5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2A1010D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CD01698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1D6E9B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Sieťová funkcionalita:</w:t>
            </w:r>
          </w:p>
        </w:tc>
      </w:tr>
      <w:tr w:rsidR="004C3D8D" w:rsidRPr="00883905" w14:paraId="40E68ABD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5FFC99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plne podporovať IPv4 aj IPv6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5646BF5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765546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zapojenie v režimoch L2 (s virtuálnym L3 rozhraním), L3, transparent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TAP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888841F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88E5CB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preklady adries typu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Static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NAT,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Dynamic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NAT, PAT, NAT64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E5A471D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68415B59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smerovanie typu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Static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route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RIP, OSPFv2, OSPFv3, BGP, PIM, IGMP a PBR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Policy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Based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Routing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24F7AD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866FEF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PBR musí byť možné nakonfigurovať na základe všetkých dostupných metrík typu interface, zóna, IP adresa, užívateľ.</w:t>
            </w:r>
          </w:p>
        </w:tc>
      </w:tr>
      <w:tr w:rsidR="004C3D8D" w:rsidRPr="00883905" w14:paraId="2185C2BD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E280CF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1DCFC36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238C8BD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VPN:</w:t>
            </w:r>
          </w:p>
        </w:tc>
      </w:tr>
      <w:tr w:rsidR="004C3D8D" w:rsidRPr="00883905" w14:paraId="0F60F3E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5C4864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site-to-site VPN pomocou protokolu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IPSec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. Počet tunelov nesmú byť licenčne obmedzený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DA30ED1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57A3DD7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Access VPN pomocou protokolov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IPSec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 SSL (TLS, či DTLS)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A0EDD4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37C13C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Počet súčasne pripojených užívateľov nesmie byť licenčne obmedzený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67F47EE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74BEAE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Dodávané riešenie musí obsahovať funkcionalitu kontroly pripájaných zariadení, ktorá musí byť v súlade s preddefinovanými podmienkami. Napr. verzia OS, nainštalovaný antivírusový nástroj pod.</w:t>
            </w:r>
          </w:p>
        </w:tc>
      </w:tr>
      <w:tr w:rsidR="004C3D8D" w:rsidRPr="00883905" w14:paraId="69AA0EA4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BF74F4D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pre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Remote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Access VPN poskytovať pripojenie z klientskych operačných systémov Windows,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MacOSX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Linux, Android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iOS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06CF01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C00A95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Priepustnosť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IPSec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byť aspoň 1,5 Gb / s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2E2EB4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E44078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3ED1DCE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1669624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Manažment:</w:t>
            </w:r>
          </w:p>
        </w:tc>
      </w:tr>
      <w:tr w:rsidR="004C3D8D" w:rsidRPr="00883905" w14:paraId="1FED0480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A9D4F0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obsahovať plnohodnotné grafické rozhranie (GUI) pre správu a čítanie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logových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záznamov bez nutnosti používania centrálneho management servera. Pripojenie ku GUI musí podporovať šifrovanie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F35701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2D2773E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GUI musí obsahovať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offline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kontextovú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nápovedu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4DD5382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019479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obsahovať plnohodnotné textové rozhranie (CLI) pre správu a čítanie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logových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záznamov bez nutnosti používania centrálneho management servera. Vzdialené pripojenie k CLI musí podporovať šifrovanie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C813D8C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9D99DA3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obsahovať plnohodnotné API rozhranie pre čítanie a konfiguráciu všetkých nastavení, týkajúcich sa bezpečnostných a ďalších pravidiel aj rozhrania a smerovanie.</w:t>
            </w:r>
          </w:p>
        </w:tc>
      </w:tr>
      <w:tr w:rsidR="004C3D8D" w:rsidRPr="00883905" w14:paraId="79F892D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522FAB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umožňovať použitie šablón pre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bootstraping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nových FW použitím USB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flash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disku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0AC8010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502759CA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pre autentizáciu a autorizáciu administrátorov podporovať protokoly LDAP,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Radius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, TACACS +,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Kerberos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 osobný certifikát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2063D5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4B9ABF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obsahovať natívne nástroje pre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debugging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problémových situácií v úrovni L2 - L7 ISO / OSI modelu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2C70C8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46C88C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lastRenderedPageBreak/>
              <w:t>FW musí podporovať natívne nástroj pre odchytenie prevádzky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F844A38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938B4F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byť možné spravovať z administrátorských staníc s OS Windows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MacOS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4B6C854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12006F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manažment musí podporovať prácu viacerých administrátorov v rovnakom čase, vrátane aplikácie politík a nastavení vytvorených iba konkrétnym administrátorom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83A0BA6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3301FA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Súčasťou dodávky musí byť nástroj, určený pre analýzu a zjednodušenie prevodu L3 / L4 pravidiel na pravidlá L7. Tento nástroj nemusí byť súčasťou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8257A51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5DDC6EE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207F66A2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00D257D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Aplikačné kontrola:</w:t>
            </w:r>
          </w:p>
        </w:tc>
      </w:tr>
      <w:tr w:rsidR="004C3D8D" w:rsidRPr="00883905" w14:paraId="253DAA8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29124CD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aplikačnú detekciu a kontrolu ako svoju natívnu funkcionalitu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33E2094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9C48564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Priradenie "povolené" a "zakázané" aplikácie musí byť natívne súčasťou vytvárania štandardného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C6CA641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17479AC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Definovaná aplikácia musí predstavovať "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match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kritérium" pri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policy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lookup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36A8D5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F330598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identifikáciu aplikácií naprieč všetkými portami / protokolmi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AEF9DB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9BCCC1E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identifikáciu aplikácií na neštandardných portoch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F83C03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582A1BE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Identifikácia aplikácie musí prebiehať priamo vo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42F775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C715DFD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detekovať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 zabrániť aplikácii meniť porty, tzv. Port-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hopping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AA982E5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C015868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riadenie neznámej prevádzky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D19BBC9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40F616F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umožňovať tvorbu užívateľsky definovaných aplikácií bez nutnosti využitia externého nástroja alebo zásahu výrobcu / dodávateľa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8B16B05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F45ED67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7E11D1E6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7963A084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Kontrola na úrovni používateľských identít:</w:t>
            </w:r>
          </w:p>
        </w:tc>
      </w:tr>
      <w:tr w:rsidR="004C3D8D" w:rsidRPr="00883905" w14:paraId="1876429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CAE5EC4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vytváranie bezpečnostných pravidiel na základe používateľských identít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EA01D0F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BE4ABD1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Voľba užívateľskej identity musí byť natívne súčasťou vytvárania štandardného bezpečnostného pravidla</w:t>
            </w:r>
          </w:p>
        </w:tc>
      </w:tr>
      <w:tr w:rsidR="004C3D8D" w:rsidRPr="00883905" w14:paraId="5155A37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F87A1C4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Užívateľská identita musí predstavovať "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match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kritérium" pri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policy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lookup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E8505A1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D6CB5BD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získavanie väzby IP adresa-užívateľské meno, bez nutnosti inštalácie klienta na koncové zariadenie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69BB72A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035AF87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získavanie väzby IP adresa-užívateľské meno, bez nutnosti inštalácie klienta na doménový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kontrolér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CB79903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ECEC063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získavanie väzby IP adresa-užívateľské meno, bez nutnosti inštalácie ďalších komponentov mimo samotnej HW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appliance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B62CB59" w14:textId="77777777" w:rsidTr="00963F96">
        <w:trPr>
          <w:trHeight w:val="765"/>
        </w:trPr>
        <w:tc>
          <w:tcPr>
            <w:tcW w:w="8930" w:type="dxa"/>
            <w:shd w:val="clear" w:color="auto" w:fill="auto"/>
            <w:vAlign w:val="bottom"/>
            <w:hideMark/>
          </w:tcPr>
          <w:p w14:paraId="0A75FC75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získavanie väzby IP adresa-užívateľské meno z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Active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Directory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za pomoci doménového účtu s čo najnižšími možnými právami pre čítanie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Security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logov, bez nutnosti disponovať rizikovými úrovňami oprávnení (napr.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Domain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Admins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1AD7D1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8201409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získavanie väzby IP adresa-užívateľské meno zo systému Cisco ISE</w:t>
            </w:r>
          </w:p>
        </w:tc>
      </w:tr>
      <w:tr w:rsidR="004C3D8D" w:rsidRPr="00883905" w14:paraId="27DBD51D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7A5347F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získavanie väzby IP adresa-užívateľské meno prostredníctvom načítania informácie z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logového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záznamu, získaného pomocou zabezpečeného protokolu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Syslog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DA21E13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78B7F5F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získavanie väzby IP adresa-užívateľské meno z terminálových serverov MS (možné za pomoci nainštalovaného agenta)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E92767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F68B271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2EF2F0CB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53D8604B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Dešifrovanie:</w:t>
            </w:r>
          </w:p>
        </w:tc>
      </w:tr>
      <w:tr w:rsidR="004C3D8D" w:rsidRPr="00883905" w14:paraId="2B530C55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90C6387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dešifrovanie odchádzajúcej SSL / TLS prevádzky, za pomoci "podvrhnutého" serverového certifikátu klientom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71336AB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2C0CEE00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dešifrovanie prichádzajúcej SSL / TLS prevádzky, za pomoci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naimportovaného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privátneho kľúča interného servera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DEDFC6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724E83C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dešifrovanie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Secure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Shell (SSH proxy) a kontrolovať tunelované aplikácie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77D523F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DF97EAC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Dešifrovanú prevádzku musí byť možné definovať na základe URL kategórií, aj všetkých ďalších typických parametrov, ako sú zdrojová a cieľová IP adresa, port, užívateľská identita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10B5058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6DC8F27B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dešifrovanie pomocou ECC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Elliptical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Curve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Cryptography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), vrátane DHE a ECDHE pre prichádzajúcu a odchádzajúcu prevádzku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D61A67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A161CF5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lastRenderedPageBreak/>
              <w:t>FW musí podporovať dešifrovanie protokolu TLS verzia 1.3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0E79D3C" w14:textId="77777777" w:rsidTr="00963F96">
        <w:trPr>
          <w:trHeight w:val="765"/>
        </w:trPr>
        <w:tc>
          <w:tcPr>
            <w:tcW w:w="8930" w:type="dxa"/>
            <w:shd w:val="clear" w:color="auto" w:fill="auto"/>
            <w:vAlign w:val="bottom"/>
            <w:hideMark/>
          </w:tcPr>
          <w:p w14:paraId="263B02D0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preposielanie dešifrovanej prevádzky na iné skenovacie zariadenie tretích strán napr. DLP, analýza prevádzky a súborov a pod. Zariadenie 3 strany následne prepošle čisto prefiltrované dáta späť do FW. (Tzv.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Decryption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broker)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785419A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087DF11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preposielanie dešifrovanej prevádzky na špecifický port pre potreby archivácie prevádzky.</w:t>
            </w:r>
          </w:p>
        </w:tc>
      </w:tr>
      <w:tr w:rsidR="004C3D8D" w:rsidRPr="00883905" w14:paraId="556A628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E329426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158522E0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6D529E05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Sandboxing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4C3D8D" w:rsidRPr="00883905" w14:paraId="67A19843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2F97A4FF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Firewall musí podporovať možnosť odoslať do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na inšpekciu neznáme vzorky prechádzajúce protokolom HTTP, HTTPS, SMTP, SMTPS, IMAP, IMAPS, FTP a SMB.</w:t>
            </w:r>
          </w:p>
        </w:tc>
      </w:tr>
      <w:tr w:rsidR="004C3D8D" w:rsidRPr="00883905" w14:paraId="6C5D567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D5B2313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systém musí byť od rovnakého výrobcu ako je FW, ale nemusí byť HW súčasťou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84F8B3A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53CBB0EE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systém musí byť schopný okamžite automaticky vytvoriť IPS / AV signatúry pre FW, v prípade, keď je testovaná </w:t>
            </w:r>
            <w:r>
              <w:rPr>
                <w:rFonts w:asciiTheme="minorHAnsi" w:hAnsiTheme="minorHAnsi" w:cstheme="minorHAnsi"/>
                <w:color w:val="000000"/>
              </w:rPr>
              <w:t>vzorka vyhodnotená ako škodlivá.</w:t>
            </w:r>
          </w:p>
        </w:tc>
      </w:tr>
      <w:tr w:rsidR="004C3D8D" w:rsidRPr="00883905" w14:paraId="5BB148DF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2E9D1812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byť schopný automaticky upraviť kategórie používanej URL databázy ak zistí, že testovaná vzorka je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škodliva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 komunikuje na konkrétne URL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55EAB7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3B458727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poskytovať aktualizácie signatúr pre AV,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Webfiltering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DNS, C &amp; C.</w:t>
            </w:r>
          </w:p>
        </w:tc>
      </w:tr>
      <w:tr w:rsidR="004C3D8D" w:rsidRPr="00883905" w14:paraId="30E2A308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BE525A9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podporovať analýzu vzorky na operačnom systéme inštalovanom priamo na hardvéri, tzn. nie vo virtuálnom prostredí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2F38EF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1952D32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podporovať operačné systémy Windows, Linux,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MacOS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Android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4B784C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4C13FC0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Report z analýzy odoslanej vzorky do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sandboxu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byť prístupný priamo z rozhrania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4F68F4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F6D08C6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Aktualizácia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zero-day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signatúr musí byť inštalovaná do FW v intervale max. 5 minút.</w:t>
            </w:r>
          </w:p>
        </w:tc>
      </w:tr>
      <w:tr w:rsidR="004C3D8D" w:rsidRPr="00883905" w14:paraId="364ED26B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1E2D694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byť schopný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detekovať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a zablokovať prevzatie neznámeho škodlivého súboru v reálnom čase, bez toho, aby bol doručený na koncový bod.</w:t>
            </w:r>
          </w:p>
        </w:tc>
      </w:tr>
      <w:tr w:rsidR="004C3D8D" w:rsidRPr="00883905" w14:paraId="403EDDE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8EB26DF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1E74DB57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6D2C24D" w14:textId="77777777" w:rsidR="004C3D8D" w:rsidRPr="00883905" w:rsidRDefault="004C3D8D" w:rsidP="004C3D8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Bezpečnostné funkcionality:</w:t>
            </w:r>
          </w:p>
        </w:tc>
      </w:tr>
      <w:tr w:rsidR="004C3D8D" w:rsidRPr="00883905" w14:paraId="5E759ECB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40F6A8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zavedenie tzv. Pozitívneho bezpečnostného modelu - povolenie iba vybraných aplikácií a zákaz všetkých ostatných aplikácií, vrátane neznámej prevádzky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A405255" w14:textId="77777777" w:rsidTr="00963F96">
        <w:trPr>
          <w:trHeight w:val="765"/>
        </w:trPr>
        <w:tc>
          <w:tcPr>
            <w:tcW w:w="8930" w:type="dxa"/>
            <w:shd w:val="clear" w:color="auto" w:fill="auto"/>
            <w:vAlign w:val="bottom"/>
            <w:hideMark/>
          </w:tcPr>
          <w:p w14:paraId="6159B9F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integrovaný systém ochrany proti zraniteľnostiam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virtual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patching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) a sieťovým útokom (IPS). Databáza IPS signatúr musí byť uložená priamo vo FW. Aplikácia IPS profilu musí byť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granulárna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na úrovni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8D8EC76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20A36EA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umožňovať tvorbu užívateľsky definovaných IPS signatúr bez nutnosti využitia externého nástroja alebo zásahu výrobcu / dodávateľa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A0824E8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4F4450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obsahovať integrovaný systém ochrany proti prítomnosti vírusov a škodlivého kódu. Databáza AV signatúr musí byť uložená priamo vo FW. Aplikácia AV profilu musí byť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granulárna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, na úrovni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F05FBB1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57CC7B4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Antivirus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musí byť schopný kontrolovať prevádzku v minimálne týchto aplikáciách - SMTP, POP3, IMAP, HTTP, HTTPS, HTTP / 2, FTP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SMB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62C289A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3956ABA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umožňovať tvorbu užívateľsky definovaných spyware signatúr bez nutnosti využitia externého nástroja alebo zásahu výrobcu / dodávateľa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7B8E4C2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71E7D46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možnosť zablokovania útoku využívajúceho známe C&amp;C centrá aj v prípade, že je prevádzka šifrovaná a nie je možné vykonávať SSL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dekrypciu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04AA48B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B2CC9E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v bezpečnostných predpisoch podporovať použitie externých dynamických zoznamov; FW musí poskytovať možnosť overiť na základe certifikátov pravosť týchto dynamických zoznamov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9375F2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A974B7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import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Snort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signatúr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E34F004" w14:textId="77777777" w:rsidTr="00963F96">
        <w:trPr>
          <w:trHeight w:val="765"/>
        </w:trPr>
        <w:tc>
          <w:tcPr>
            <w:tcW w:w="8930" w:type="dxa"/>
            <w:shd w:val="clear" w:color="auto" w:fill="auto"/>
            <w:vAlign w:val="bottom"/>
            <w:hideMark/>
          </w:tcPr>
          <w:p w14:paraId="0C49971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pre prístup ku kritickým aplikáciám poskytovať možnosť vynútiť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multifaktorové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overenie prostredníctvom webového portálu, bez ohľadu na to, či cieľová aplikácia podporuje viacfaktorovú autentizáciu; táto vlastnosť musí byť konfigurovateľná na úrovní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D4B6949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FE8B3ED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poskytovať možnosť zabrániť odoslaniu doménových užívateľských prihlasovacích údajov do iných, než povolených URL kategórií, pre zabránenie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phishingu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A8FFAF9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4112D55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poskytovať funkciu k ochrane proti tzv.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Drive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-by downloadom; spôsob ochrany musí byť pre používateľa interaktívny s možnosťou voľby akceptácie rizika a stiahnutia súboru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6EF120A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509BE00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lastRenderedPageBreak/>
              <w:t xml:space="preserve">FW musí podporovať analýzu DNS dopytu tzv.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Sinkhole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funkciou, ktorá na dopyt malware DNS URL vráti podvrhnutú IP adresu pre detailnejšiu analýzu a zároveň sa stanica na pôvodnú malware stránku nedostane.</w:t>
            </w:r>
          </w:p>
        </w:tc>
      </w:tr>
      <w:tr w:rsidR="004C3D8D" w:rsidRPr="00883905" w14:paraId="6D966CA4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C93CFC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pobsahovať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funkcionalitu pokročilej analýzy DNS dopytov proti technikám používajúcim DGA (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domain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generation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algorithm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>) v reálnom čase.</w:t>
            </w:r>
          </w:p>
        </w:tc>
      </w:tr>
      <w:tr w:rsidR="004C3D8D" w:rsidRPr="00883905" w14:paraId="341BCFC9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3ED2B2A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integráciu so systémom Cisco ISE pre zaradenie koncovej stanice do karantény pri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detekovaní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nevhodného správania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E0E7F6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9FF312E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2EB354B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D3AC6D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Ochrana proti </w:t>
            </w: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DoS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4C3D8D" w:rsidRPr="00883905" w14:paraId="62B1AE08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4685C8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obsahovať natívnu službu pre ochranu proti útoku typu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DoS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pomocou limitácie počtu spojení na úrovni zdrojová a cieľová IP adresa, užívateľská identita a</w:t>
            </w:r>
            <w:r>
              <w:rPr>
                <w:rFonts w:asciiTheme="minorHAnsi" w:hAnsiTheme="minorHAnsi" w:cstheme="minorHAnsi"/>
                <w:color w:val="000000"/>
              </w:rPr>
              <w:t> </w:t>
            </w:r>
            <w:r w:rsidRPr="00883905">
              <w:rPr>
                <w:rFonts w:asciiTheme="minorHAnsi" w:hAnsiTheme="minorHAnsi" w:cstheme="minorHAnsi"/>
                <w:color w:val="000000"/>
              </w:rPr>
              <w:t>aplikácia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5C37FD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56E5BC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A77650D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380D1F5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QoS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4C3D8D" w:rsidRPr="00883905" w14:paraId="3FB14E95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16CA2E1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poskytovať možnosť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prioritizácie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prevádzky a obmedzenie využívanej šírky pásma na základe zdrojovej a cieľovej IP adresy, portu, užívateľskej identity, aplikácie a času (od - do, deň v týždni + čas a pod.)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7883FD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020707E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prioritizáciu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prevádzky na základe DSCP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01E5640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106833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prioritizáciu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prevádzky na základe identifikovanej aplikácie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5350562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83A074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404238AC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1E1C56F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URL </w:t>
            </w:r>
            <w:proofErr w:type="spellStart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filtering</w:t>
            </w:r>
            <w:proofErr w:type="spellEnd"/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4C3D8D" w:rsidRPr="00883905" w14:paraId="52CFDE7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784F5A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natívnu podporu pre využívanie databázy URL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774A5EC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B96E8F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URL databázy musia byť od toho istého výrobcu ako FW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6DB6536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10E262E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byť schopný použiť URL kategóriu v definícii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6C5D7FC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9C6B2C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vytváranie užívateľsky definovaných kategórií, bez nutnosti využiť externý nástroj a bez nutnosti zásahu výrobcu / dodávateľa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67651C16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0EFBA7E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URL databáza musí byť dynamicky aktualizovaná na základe novo zistených URL, vedúcich na škodlivý obsah alebo C &amp; C centra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12940EE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2CF369A9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URL databáza musí podporovať možnosť zaradenia do aspoň dvoch kategórií naraz pre jedinú URL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636DD3D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6AC9757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umožňovať požiadať o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rekategorizáciu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nevhodne zaradených URL priamo v grafickom rozhraní FW bez nutnosti kontaktovania technickej podpory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4D89FF2F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1D25816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BB80CD4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420F9AF2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Logovanie:</w:t>
            </w:r>
          </w:p>
        </w:tc>
      </w:tr>
      <w:tr w:rsidR="004C3D8D" w:rsidRPr="00883905" w14:paraId="063F46C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0ED115D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lokálne úložisko logov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7C556CC3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489FA55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obsahovať nástroj na analýzu logov bez nutnosti využitia ďalšieho systému mimo GUI</w:t>
            </w:r>
          </w:p>
        </w:tc>
      </w:tr>
      <w:tr w:rsidR="004C3D8D" w:rsidRPr="00883905" w14:paraId="7F55F36F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743A6587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FW musí podporovať agregované zobrazenie logov na základe jedného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filtrovacieho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pravidla, naprieč jednotlivými typmi logov, ako sú prevádzkové logy, logy bezpečnostných incidentov a logy prístupov na URL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182122CA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1F68F238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preposielanie logov na zariadenia tretích strán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4CB04A7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4A406E0F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umožňovať výber preposielaných logov na úrovni bezpečnostného pravidla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52B47380" w14:textId="77777777" w:rsidTr="00963F96">
        <w:trPr>
          <w:trHeight w:val="510"/>
        </w:trPr>
        <w:tc>
          <w:tcPr>
            <w:tcW w:w="8930" w:type="dxa"/>
            <w:shd w:val="clear" w:color="auto" w:fill="auto"/>
            <w:vAlign w:val="bottom"/>
            <w:hideMark/>
          </w:tcPr>
          <w:p w14:paraId="1B7E2DE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 xml:space="preserve">Preposielané logy z FW musia byť automaticky rozpoznané najčastejšie používanými typmi SIEM (uvedených v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Leaders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kvadrante aktuálneho </w:t>
            </w:r>
            <w:proofErr w:type="spellStart"/>
            <w:r w:rsidRPr="00883905">
              <w:rPr>
                <w:rFonts w:asciiTheme="minorHAnsi" w:hAnsiTheme="minorHAnsi" w:cstheme="minorHAnsi"/>
                <w:color w:val="000000"/>
              </w:rPr>
              <w:t>Gartner</w:t>
            </w:r>
            <w:proofErr w:type="spellEnd"/>
            <w:r w:rsidRPr="00883905">
              <w:rPr>
                <w:rFonts w:asciiTheme="minorHAnsi" w:hAnsiTheme="minorHAnsi" w:cstheme="minorHAnsi"/>
                <w:color w:val="000000"/>
              </w:rPr>
              <w:t xml:space="preserve"> MQ)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2E4B19B7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6FBFDB4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6405F068" w14:textId="77777777" w:rsidTr="00963F96">
        <w:trPr>
          <w:trHeight w:val="255"/>
        </w:trPr>
        <w:tc>
          <w:tcPr>
            <w:tcW w:w="8930" w:type="dxa"/>
            <w:shd w:val="clear" w:color="CCCCCC" w:fill="CCCCCC"/>
            <w:vAlign w:val="bottom"/>
            <w:hideMark/>
          </w:tcPr>
          <w:p w14:paraId="122657E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bCs/>
                <w:color w:val="000000"/>
              </w:rPr>
              <w:t>Servisná podpora a licenčný plán:</w:t>
            </w:r>
          </w:p>
        </w:tc>
      </w:tr>
      <w:tr w:rsidR="004C3D8D" w:rsidRPr="00883905" w14:paraId="2D24AAE0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52E4C349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FW musí podporovať licenčný model nezávislý od počtu ochraňovaných koncových systémov alebo užívateľov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4C3D8D" w:rsidRPr="00883905" w14:paraId="374AB239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  <w:hideMark/>
          </w:tcPr>
          <w:p w14:paraId="72BC27AB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  <w:color w:val="000000"/>
              </w:rPr>
              <w:t>Požadovaná dĺžka podpory a platnosti licencií je 3 roky od nasadenia zariadenia do siete objednávateľa.</w:t>
            </w:r>
          </w:p>
        </w:tc>
      </w:tr>
      <w:tr w:rsidR="004C3D8D" w:rsidRPr="00883905" w14:paraId="7B72E6AB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</w:tcPr>
          <w:p w14:paraId="47A40C26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C3D8D" w:rsidRPr="00883905" w14:paraId="0B98DDED" w14:textId="77777777" w:rsidTr="00963F96">
        <w:trPr>
          <w:trHeight w:val="255"/>
        </w:trPr>
        <w:tc>
          <w:tcPr>
            <w:tcW w:w="8930" w:type="dxa"/>
            <w:shd w:val="clear" w:color="auto" w:fill="BFBFBF" w:themeFill="background1" w:themeFillShade="BF"/>
            <w:vAlign w:val="bottom"/>
          </w:tcPr>
          <w:p w14:paraId="0208184C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83905">
              <w:rPr>
                <w:rFonts w:asciiTheme="minorHAnsi" w:hAnsiTheme="minorHAnsi" w:cstheme="minorHAnsi"/>
                <w:b/>
                <w:color w:val="000000"/>
              </w:rPr>
              <w:t>Ostatné:</w:t>
            </w:r>
          </w:p>
        </w:tc>
      </w:tr>
      <w:tr w:rsidR="004C3D8D" w:rsidRPr="00883905" w14:paraId="7B92607D" w14:textId="77777777" w:rsidTr="00963F96">
        <w:trPr>
          <w:trHeight w:val="255"/>
        </w:trPr>
        <w:tc>
          <w:tcPr>
            <w:tcW w:w="8930" w:type="dxa"/>
            <w:shd w:val="clear" w:color="auto" w:fill="auto"/>
            <w:vAlign w:val="bottom"/>
          </w:tcPr>
          <w:p w14:paraId="02867710" w14:textId="77777777" w:rsidR="004C3D8D" w:rsidRPr="00883905" w:rsidRDefault="004C3D8D" w:rsidP="004C3D8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883905">
              <w:rPr>
                <w:rFonts w:asciiTheme="minorHAnsi" w:hAnsiTheme="minorHAnsi" w:cstheme="minorHAnsi"/>
              </w:rPr>
              <w:t>Vrátane dopravy na miesto plnenia.</w:t>
            </w:r>
          </w:p>
        </w:tc>
      </w:tr>
    </w:tbl>
    <w:p w14:paraId="18F120AE" w14:textId="03AC41A6" w:rsidR="00570CE6" w:rsidRPr="00663F25" w:rsidRDefault="00663F25" w:rsidP="00570CE6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663F25">
        <w:rPr>
          <w:rFonts w:asciiTheme="minorHAnsi" w:hAnsiTheme="minorHAnsi"/>
          <w:b/>
        </w:rPr>
        <w:lastRenderedPageBreak/>
        <w:t>Obsah p</w:t>
      </w:r>
      <w:r w:rsidR="00570CE6" w:rsidRPr="00663F25">
        <w:rPr>
          <w:rFonts w:asciiTheme="minorHAnsi" w:hAnsiTheme="minorHAnsi"/>
          <w:b/>
        </w:rPr>
        <w:t>onuk</w:t>
      </w:r>
      <w:r w:rsidRPr="00663F25">
        <w:rPr>
          <w:rFonts w:asciiTheme="minorHAnsi" w:hAnsiTheme="minorHAnsi"/>
          <w:b/>
        </w:rPr>
        <w:t>y</w:t>
      </w:r>
      <w:r w:rsidR="00570CE6" w:rsidRPr="00663F25">
        <w:rPr>
          <w:rFonts w:asciiTheme="minorHAnsi" w:hAnsiTheme="minorHAnsi"/>
          <w:b/>
        </w:rPr>
        <w:t>:</w:t>
      </w:r>
    </w:p>
    <w:p w14:paraId="757F8541" w14:textId="034F7016" w:rsidR="00570CE6" w:rsidRPr="00663F25" w:rsidRDefault="00570CE6" w:rsidP="00963F96">
      <w:pPr>
        <w:pStyle w:val="Default"/>
        <w:ind w:left="426" w:right="-5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V nadväznosti na uvedené si Vás </w:t>
      </w:r>
      <w:r w:rsidR="00222F36" w:rsidRPr="00663F25">
        <w:rPr>
          <w:rFonts w:asciiTheme="minorHAnsi" w:hAnsiTheme="minorHAnsi" w:cs="Times New Roman"/>
          <w:sz w:val="22"/>
          <w:szCs w:val="22"/>
        </w:rPr>
        <w:t xml:space="preserve">verejný obstarávateľ. </w:t>
      </w:r>
      <w:r w:rsidRPr="00663F25">
        <w:rPr>
          <w:rFonts w:asciiTheme="minorHAnsi" w:hAnsiTheme="minorHAnsi" w:cs="Times New Roman"/>
          <w:sz w:val="22"/>
          <w:szCs w:val="22"/>
        </w:rPr>
        <w:t xml:space="preserve">dovoľuje požiadať o predloženie ponuky na </w:t>
      </w:r>
      <w:r w:rsidRPr="00663F25">
        <w:rPr>
          <w:rFonts w:asciiTheme="minorHAnsi" w:hAnsiTheme="minorHAnsi" w:cs="Times New Roman"/>
          <w:color w:val="auto"/>
          <w:sz w:val="22"/>
          <w:szCs w:val="22"/>
        </w:rPr>
        <w:t xml:space="preserve">celý predmet zákazky opísaný v bodoch 1. a </w:t>
      </w:r>
      <w:r w:rsidR="000A7639" w:rsidRPr="00663F25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663F25">
        <w:rPr>
          <w:rFonts w:asciiTheme="minorHAnsi" w:hAnsiTheme="minorHAnsi" w:cs="Times New Roman"/>
          <w:color w:val="auto"/>
          <w:sz w:val="22"/>
          <w:szCs w:val="22"/>
        </w:rPr>
        <w:t>. tejto Výzvy.</w:t>
      </w:r>
    </w:p>
    <w:p w14:paraId="0EBE5873" w14:textId="77777777" w:rsidR="00963F96" w:rsidRDefault="00963F9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</w:p>
    <w:p w14:paraId="4E994F82" w14:textId="4BD6E93B" w:rsidR="00570CE6" w:rsidRPr="00663F25" w:rsidRDefault="00570CE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b/>
          <w:i/>
          <w:color w:val="auto"/>
          <w:sz w:val="22"/>
          <w:szCs w:val="22"/>
        </w:rPr>
        <w:t>Ponuka musí obsahovať:</w:t>
      </w:r>
    </w:p>
    <w:p w14:paraId="1915441B" w14:textId="77777777" w:rsidR="00570CE6" w:rsidRPr="00813C39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663F25">
        <w:rPr>
          <w:rFonts w:asciiTheme="minorHAnsi" w:hAnsiTheme="minorHAnsi"/>
          <w:color w:val="000000"/>
        </w:rPr>
        <w:t xml:space="preserve">Základné identifikačné údaje uchádzača v zmysle </w:t>
      </w:r>
      <w:r w:rsidRPr="003C225C">
        <w:rPr>
          <w:rFonts w:asciiTheme="minorHAnsi" w:hAnsiTheme="minorHAnsi"/>
          <w:b/>
          <w:color w:val="000000"/>
        </w:rPr>
        <w:t>Prílohy č. 1.</w:t>
      </w:r>
    </w:p>
    <w:p w14:paraId="5FE2900E" w14:textId="77777777" w:rsidR="00570CE6" w:rsidRPr="00813C39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2E68C5">
        <w:rPr>
          <w:rFonts w:asciiTheme="minorHAnsi" w:hAnsiTheme="minorHAnsi"/>
          <w:color w:val="000000"/>
        </w:rPr>
        <w:t>C</w:t>
      </w:r>
      <w:r w:rsidRPr="00813C39">
        <w:rPr>
          <w:rFonts w:asciiTheme="minorHAnsi" w:hAnsiTheme="minorHAnsi"/>
          <w:color w:val="000000"/>
        </w:rPr>
        <w:t xml:space="preserve">enovú ponuku predloženú v zmysle </w:t>
      </w:r>
      <w:r w:rsidRPr="003C225C">
        <w:rPr>
          <w:rFonts w:asciiTheme="minorHAnsi" w:hAnsiTheme="minorHAnsi"/>
          <w:b/>
          <w:color w:val="000000"/>
        </w:rPr>
        <w:t>Prílohy č. 1.</w:t>
      </w:r>
    </w:p>
    <w:p w14:paraId="0550A3AF" w14:textId="77777777" w:rsidR="00813C39" w:rsidRPr="00813C39" w:rsidRDefault="00813C39" w:rsidP="00813C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813C39">
        <w:rPr>
          <w:rFonts w:asciiTheme="minorHAnsi" w:hAnsiTheme="minorHAnsi"/>
          <w:color w:val="000000"/>
        </w:rPr>
        <w:t>Uchádzač predloží zoznam kontaktných osôb zodpovedných za plnenie zákazky.</w:t>
      </w:r>
    </w:p>
    <w:p w14:paraId="01A423B8" w14:textId="4CCEDEA5" w:rsidR="00813C39" w:rsidRPr="00813C39" w:rsidRDefault="00813C39" w:rsidP="00813C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813C39">
        <w:rPr>
          <w:rFonts w:asciiTheme="minorHAnsi" w:hAnsiTheme="minorHAnsi"/>
          <w:color w:val="000000"/>
        </w:rPr>
        <w:t xml:space="preserve">Uchádzač je povinný predložiť verejnému obstarávateľovi vlastný návrh na plnenie predmetu zákazky pre všetky položky. Vlastný návrh na plnenie predmetu zákazky </w:t>
      </w:r>
      <w:r>
        <w:rPr>
          <w:rFonts w:asciiTheme="minorHAnsi" w:hAnsiTheme="minorHAnsi"/>
          <w:color w:val="000000"/>
        </w:rPr>
        <w:t>uchádzač</w:t>
      </w:r>
      <w:r w:rsidRPr="00813C39">
        <w:rPr>
          <w:rFonts w:asciiTheme="minorHAnsi" w:hAnsiTheme="minorHAnsi"/>
          <w:color w:val="000000"/>
        </w:rPr>
        <w:t xml:space="preserve"> predkladá na účely kontroly či ponúkaný tovar zodpovedá technickej špecifikácii predmetu zákazky.</w:t>
      </w:r>
    </w:p>
    <w:p w14:paraId="10FAE8FB" w14:textId="1890FB5E" w:rsidR="00813C39" w:rsidRPr="00813C39" w:rsidRDefault="00813C39" w:rsidP="00813C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813C39">
        <w:rPr>
          <w:rFonts w:asciiTheme="minorHAnsi" w:hAnsiTheme="minorHAnsi"/>
          <w:color w:val="000000"/>
        </w:rPr>
        <w:t>Uchádzač je povinný preukázať, že pre úspešnú realizáciu zákazky disponuje vlastným expertom s platnou technickou certifikáciou výrobcu pre všetky ponúkané zariadenia</w:t>
      </w:r>
      <w:r>
        <w:rPr>
          <w:rFonts w:asciiTheme="minorHAnsi" w:hAnsiTheme="minorHAnsi"/>
          <w:color w:val="000000"/>
        </w:rPr>
        <w:t xml:space="preserve"> </w:t>
      </w:r>
      <w:r w:rsidRPr="00813C39">
        <w:rPr>
          <w:rFonts w:asciiTheme="minorHAnsi" w:hAnsiTheme="minorHAnsi"/>
          <w:color w:val="000000"/>
        </w:rPr>
        <w:t>formou predloženia (</w:t>
      </w:r>
      <w:proofErr w:type="spellStart"/>
      <w:r w:rsidRPr="00813C39">
        <w:rPr>
          <w:rFonts w:asciiTheme="minorHAnsi" w:hAnsiTheme="minorHAnsi"/>
          <w:color w:val="000000"/>
        </w:rPr>
        <w:t>sken</w:t>
      </w:r>
      <w:proofErr w:type="spellEnd"/>
      <w:r w:rsidRPr="00813C39">
        <w:rPr>
          <w:rFonts w:asciiTheme="minorHAnsi" w:hAnsiTheme="minorHAnsi"/>
          <w:color w:val="000000"/>
        </w:rPr>
        <w:t>) požadovan</w:t>
      </w:r>
      <w:r>
        <w:rPr>
          <w:rFonts w:asciiTheme="minorHAnsi" w:hAnsiTheme="minorHAnsi"/>
          <w:color w:val="000000"/>
        </w:rPr>
        <w:t>ého</w:t>
      </w:r>
      <w:r w:rsidRPr="00813C39">
        <w:rPr>
          <w:rFonts w:asciiTheme="minorHAnsi" w:hAnsiTheme="minorHAnsi"/>
          <w:color w:val="000000"/>
        </w:rPr>
        <w:t xml:space="preserve"> certifikát</w:t>
      </w:r>
      <w:r>
        <w:rPr>
          <w:rFonts w:asciiTheme="minorHAnsi" w:hAnsiTheme="minorHAnsi"/>
          <w:color w:val="000000"/>
        </w:rPr>
        <w:t xml:space="preserve">u </w:t>
      </w:r>
      <w:r w:rsidRPr="00813C39">
        <w:rPr>
          <w:rFonts w:asciiTheme="minorHAnsi" w:hAnsiTheme="minorHAnsi"/>
          <w:color w:val="000000"/>
        </w:rPr>
        <w:t>a</w:t>
      </w:r>
      <w:r w:rsidRPr="002E68C5">
        <w:rPr>
          <w:rFonts w:asciiTheme="minorHAnsi" w:hAnsiTheme="minorHAnsi"/>
        </w:rPr>
        <w:t>lebo jeho ekvivalentu</w:t>
      </w:r>
      <w:r w:rsidRPr="00813C39">
        <w:rPr>
          <w:rFonts w:asciiTheme="minorHAnsi" w:hAnsiTheme="minorHAnsi"/>
          <w:color w:val="000000"/>
        </w:rPr>
        <w:t>. Podmienkou pre akceptáciu dodávky je realizácia dodávky týmto expertom.</w:t>
      </w:r>
    </w:p>
    <w:p w14:paraId="04C89794" w14:textId="1E7490BC" w:rsidR="00813C39" w:rsidRPr="00813C39" w:rsidRDefault="00813C39" w:rsidP="00813C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813C39">
        <w:rPr>
          <w:rFonts w:asciiTheme="minorHAnsi" w:hAnsiTheme="minorHAnsi"/>
          <w:color w:val="000000"/>
        </w:rPr>
        <w:t>Uchádzač je povinný preukázať, že pre úspešnú realizáciu diela je certifikovaným partnerom výrobcu FW s oprávnením pre dodávku, implementáciu a podporu uvedeného systému</w:t>
      </w:r>
      <w:r>
        <w:rPr>
          <w:rFonts w:asciiTheme="minorHAnsi" w:hAnsiTheme="minorHAnsi"/>
          <w:color w:val="000000"/>
        </w:rPr>
        <w:t xml:space="preserve"> </w:t>
      </w:r>
      <w:r w:rsidRPr="00813C39">
        <w:rPr>
          <w:rFonts w:asciiTheme="minorHAnsi" w:hAnsiTheme="minorHAnsi"/>
          <w:color w:val="000000"/>
        </w:rPr>
        <w:t>formou predloženia (</w:t>
      </w:r>
      <w:proofErr w:type="spellStart"/>
      <w:r w:rsidRPr="00813C39">
        <w:rPr>
          <w:rFonts w:asciiTheme="minorHAnsi" w:hAnsiTheme="minorHAnsi"/>
          <w:color w:val="000000"/>
        </w:rPr>
        <w:t>sken</w:t>
      </w:r>
      <w:proofErr w:type="spellEnd"/>
      <w:r w:rsidRPr="00813C39">
        <w:rPr>
          <w:rFonts w:asciiTheme="minorHAnsi" w:hAnsiTheme="minorHAnsi"/>
          <w:color w:val="000000"/>
        </w:rPr>
        <w:t>) požadovan</w:t>
      </w:r>
      <w:r>
        <w:rPr>
          <w:rFonts w:asciiTheme="minorHAnsi" w:hAnsiTheme="minorHAnsi"/>
          <w:color w:val="000000"/>
        </w:rPr>
        <w:t>ého</w:t>
      </w:r>
      <w:r w:rsidRPr="00813C39">
        <w:rPr>
          <w:rFonts w:asciiTheme="minorHAnsi" w:hAnsiTheme="minorHAnsi"/>
          <w:color w:val="000000"/>
        </w:rPr>
        <w:t xml:space="preserve"> certifikát</w:t>
      </w:r>
      <w:r>
        <w:rPr>
          <w:rFonts w:asciiTheme="minorHAnsi" w:hAnsiTheme="minorHAnsi"/>
          <w:color w:val="000000"/>
        </w:rPr>
        <w:t xml:space="preserve">u </w:t>
      </w:r>
      <w:r w:rsidRPr="00813C39">
        <w:rPr>
          <w:rFonts w:asciiTheme="minorHAnsi" w:hAnsiTheme="minorHAnsi"/>
          <w:color w:val="000000"/>
        </w:rPr>
        <w:t>a</w:t>
      </w:r>
      <w:r w:rsidRPr="002E68C5">
        <w:rPr>
          <w:rFonts w:asciiTheme="minorHAnsi" w:hAnsiTheme="minorHAnsi"/>
        </w:rPr>
        <w:t>lebo jeho ekvivalentu</w:t>
      </w:r>
      <w:r w:rsidRPr="00813C39">
        <w:rPr>
          <w:rFonts w:asciiTheme="minorHAnsi" w:hAnsiTheme="minorHAnsi"/>
          <w:color w:val="000000"/>
        </w:rPr>
        <w:t>.</w:t>
      </w:r>
    </w:p>
    <w:p w14:paraId="1E6BBA72" w14:textId="13681BE5" w:rsidR="00813C39" w:rsidRPr="00813C39" w:rsidRDefault="003C225C" w:rsidP="00813C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Úspešný u</w:t>
      </w:r>
      <w:r w:rsidR="00813C39" w:rsidRPr="00813C39">
        <w:rPr>
          <w:rFonts w:asciiTheme="minorHAnsi" w:hAnsiTheme="minorHAnsi"/>
          <w:color w:val="000000"/>
        </w:rPr>
        <w:t>chádzač je oprávnený fakturovať iba celý predmet zákazky naraz po dodaní všetkých položiek, nie sú prípustné faktúry za čiastkové plnenie.</w:t>
      </w:r>
    </w:p>
    <w:p w14:paraId="02A8E69F" w14:textId="77777777" w:rsidR="003C225C" w:rsidRPr="003C225C" w:rsidRDefault="003C225C" w:rsidP="003C225C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color w:val="000000"/>
        </w:rPr>
      </w:pPr>
      <w:r w:rsidRPr="003C225C">
        <w:rPr>
          <w:rFonts w:asciiTheme="minorHAnsi" w:hAnsiTheme="minorHAnsi"/>
          <w:color w:val="000000"/>
        </w:rPr>
        <w:t>Právo na vystavenie faktúry a zaplatenie ceny za dodávku vznikne úspešnému uchádzačovi riadnym dodaním a odovzdaním predmetu zákazky verejnému obstarávateľovi. Podkladom pre úhradu ceny za dodanie bude faktúra vystavená úspešným uchádzačom, doložená súpisom dodaných služieb a Akceptačným protokolom o ich odovzdaní.</w:t>
      </w:r>
    </w:p>
    <w:p w14:paraId="1CEFFEE3" w14:textId="77777777" w:rsidR="00570CE6" w:rsidRPr="00663F2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</w:rPr>
      </w:pPr>
      <w:r w:rsidRPr="002E68C5">
        <w:rPr>
          <w:rFonts w:asciiTheme="minorHAnsi" w:hAnsiTheme="minorHAnsi"/>
          <w:color w:val="000000"/>
        </w:rPr>
        <w:t>Doklad (</w:t>
      </w:r>
      <w:proofErr w:type="spellStart"/>
      <w:r w:rsidRPr="002E68C5">
        <w:rPr>
          <w:rFonts w:asciiTheme="minorHAnsi" w:hAnsiTheme="minorHAnsi"/>
          <w:color w:val="000000"/>
        </w:rPr>
        <w:t>sken</w:t>
      </w:r>
      <w:proofErr w:type="spellEnd"/>
      <w:r w:rsidRPr="002E68C5">
        <w:rPr>
          <w:rFonts w:asciiTheme="minorHAnsi" w:hAnsiTheme="minorHAnsi"/>
          <w:color w:val="000000"/>
        </w:rPr>
        <w:t>) o oprávnení uchádzača poskytovať službu podľa § 32 ods. 1 písm. e) zákona č. 343/2015 Z. z. o verejnom obstarávaní a o zmene a doplnení niektorých zákonov, ktorý zodpovedá predmetu</w:t>
      </w:r>
      <w:r w:rsidRPr="00663F25">
        <w:rPr>
          <w:rFonts w:asciiTheme="minorHAnsi" w:hAnsiTheme="minorHAnsi"/>
          <w:color w:val="000000"/>
        </w:rPr>
        <w:t xml:space="preserve"> zákazky.</w:t>
      </w:r>
    </w:p>
    <w:p w14:paraId="3E1207FB" w14:textId="77777777" w:rsidR="00570CE6" w:rsidRPr="00663F2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</w:rPr>
      </w:pPr>
      <w:r w:rsidRPr="00663F25">
        <w:rPr>
          <w:rFonts w:asciiTheme="minorHAnsi" w:hAnsiTheme="minorHAnsi"/>
          <w:color w:val="000000"/>
        </w:rPr>
        <w:t>Čestné prehlásenie (</w:t>
      </w:r>
      <w:proofErr w:type="spellStart"/>
      <w:r w:rsidRPr="00663F25">
        <w:rPr>
          <w:rFonts w:asciiTheme="minorHAnsi" w:hAnsiTheme="minorHAnsi"/>
          <w:color w:val="000000"/>
        </w:rPr>
        <w:t>sken</w:t>
      </w:r>
      <w:proofErr w:type="spellEnd"/>
      <w:r w:rsidRPr="00663F25">
        <w:rPr>
          <w:rFonts w:asciiTheme="minorHAnsi" w:hAnsiTheme="minorHAnsi"/>
          <w:color w:val="000000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č. 343/2015 Z. z. o verejnom obstarávaní a o zmene a doplnení niektorých zákonov. Čestné prehlásenie musí byť podpísané štatutárnym zástupcom uchádzača, alebo iným zástupcom uchádzača</w:t>
      </w:r>
      <w:r w:rsidRPr="00663F25">
        <w:rPr>
          <w:rFonts w:asciiTheme="minorHAnsi" w:hAnsiTheme="minorHAnsi"/>
        </w:rPr>
        <w:t>, ktorý je oprávnený konať v jeho mene.</w:t>
      </w:r>
    </w:p>
    <w:p w14:paraId="1D15BA3E" w14:textId="77777777" w:rsidR="00570CE6" w:rsidRPr="00663F25" w:rsidRDefault="00570CE6" w:rsidP="00570CE6">
      <w:pPr>
        <w:pStyle w:val="Default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14:paraId="65969F6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Miesto dodania predmetu zákazky:</w:t>
      </w:r>
    </w:p>
    <w:p w14:paraId="5E6F4707" w14:textId="70057C69" w:rsidR="00570CE6" w:rsidRPr="00663F25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color w:val="auto"/>
          <w:sz w:val="22"/>
          <w:szCs w:val="22"/>
        </w:rPr>
        <w:t>Cintorínska 21, 811 08 Bratislava 1</w:t>
      </w:r>
    </w:p>
    <w:p w14:paraId="6E04D259" w14:textId="77777777" w:rsidR="00570CE6" w:rsidRPr="00663F25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A06955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 xml:space="preserve">Kritérium na hodnotenie ponúk: </w:t>
      </w:r>
    </w:p>
    <w:p w14:paraId="799D2CDC" w14:textId="7835D324" w:rsidR="00570CE6" w:rsidRPr="00663F25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 xml:space="preserve">Kritériom na hodnotenie ponúk je najnižšia cena v zmysle </w:t>
      </w:r>
      <w:r w:rsidRPr="00663F25">
        <w:rPr>
          <w:rFonts w:asciiTheme="minorHAnsi" w:hAnsiTheme="minorHAnsi"/>
          <w:b/>
        </w:rPr>
        <w:t xml:space="preserve">Prílohy č. 1. </w:t>
      </w:r>
      <w:r w:rsidRPr="00663F25">
        <w:rPr>
          <w:rFonts w:asciiTheme="minorHAnsi" w:hAnsiTheme="minorHAnsi"/>
        </w:rPr>
        <w:t xml:space="preserve">za celý predmet zákazky opísaný v bodoch 1. a </w:t>
      </w:r>
      <w:r w:rsidR="000A7639" w:rsidRPr="00663F25">
        <w:rPr>
          <w:rFonts w:asciiTheme="minorHAnsi" w:hAnsiTheme="minorHAnsi"/>
        </w:rPr>
        <w:t>2</w:t>
      </w:r>
      <w:r w:rsidRPr="00663F25">
        <w:rPr>
          <w:rFonts w:asciiTheme="minorHAnsi" w:hAnsiTheme="minorHAnsi"/>
        </w:rPr>
        <w:t>. tejto Výzvy.</w:t>
      </w:r>
    </w:p>
    <w:p w14:paraId="1DCEDB7A" w14:textId="77777777" w:rsidR="00570CE6" w:rsidRPr="00663F25" w:rsidRDefault="00570CE6" w:rsidP="00570CE6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23C68BF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Zmluvné podmienky:</w:t>
      </w:r>
    </w:p>
    <w:p w14:paraId="2D20A57B" w14:textId="289F5376" w:rsidR="00570CE6" w:rsidRPr="00663F25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>Po vyhodnotení ponúk uchádzačov bude úspešnému uchádzačovi vystavená objednávka. Lehota na dodanie predmetu zákazky opísaného v bodoch 1.</w:t>
      </w:r>
      <w:r w:rsidR="000A7639" w:rsidRPr="00663F25">
        <w:rPr>
          <w:rFonts w:asciiTheme="minorHAnsi" w:hAnsiTheme="minorHAnsi"/>
        </w:rPr>
        <w:t xml:space="preserve"> </w:t>
      </w:r>
      <w:r w:rsidR="008B512C" w:rsidRPr="002E68C5">
        <w:rPr>
          <w:rFonts w:asciiTheme="minorHAnsi" w:hAnsiTheme="minorHAnsi"/>
        </w:rPr>
        <w:t>a</w:t>
      </w:r>
      <w:r w:rsidR="000A7639" w:rsidRPr="002E68C5">
        <w:rPr>
          <w:rFonts w:asciiTheme="minorHAnsi" w:hAnsiTheme="minorHAnsi"/>
        </w:rPr>
        <w:t xml:space="preserve"> </w:t>
      </w:r>
      <w:r w:rsidR="002A74B1" w:rsidRPr="002E68C5">
        <w:rPr>
          <w:rFonts w:asciiTheme="minorHAnsi" w:hAnsiTheme="minorHAnsi"/>
        </w:rPr>
        <w:t>2</w:t>
      </w:r>
      <w:r w:rsidR="00222F36" w:rsidRPr="002E68C5">
        <w:rPr>
          <w:rFonts w:asciiTheme="minorHAnsi" w:hAnsiTheme="minorHAnsi"/>
        </w:rPr>
        <w:t>.</w:t>
      </w:r>
      <w:r w:rsidRPr="002E68C5">
        <w:rPr>
          <w:rFonts w:asciiTheme="minorHAnsi" w:hAnsiTheme="minorHAnsi"/>
        </w:rPr>
        <w:t xml:space="preserve"> tejto Výzvy je maximálne </w:t>
      </w:r>
      <w:r w:rsidR="003C225C">
        <w:rPr>
          <w:rFonts w:asciiTheme="minorHAnsi" w:hAnsiTheme="minorHAnsi"/>
          <w:b/>
          <w:i/>
        </w:rPr>
        <w:t>6</w:t>
      </w:r>
      <w:r w:rsidR="000A7639" w:rsidRPr="002E68C5">
        <w:rPr>
          <w:rFonts w:asciiTheme="minorHAnsi" w:hAnsiTheme="minorHAnsi"/>
          <w:b/>
          <w:i/>
        </w:rPr>
        <w:t>0</w:t>
      </w:r>
      <w:r w:rsidRPr="002E68C5">
        <w:rPr>
          <w:rFonts w:asciiTheme="minorHAnsi" w:hAnsiTheme="minorHAnsi"/>
          <w:b/>
          <w:i/>
        </w:rPr>
        <w:t> pracovných dní</w:t>
      </w:r>
      <w:r w:rsidRPr="002E68C5">
        <w:rPr>
          <w:rFonts w:asciiTheme="minorHAnsi" w:hAnsiTheme="minorHAnsi"/>
        </w:rPr>
        <w:t xml:space="preserve"> od doručenia mailovej objednávky verejným obstarávateľom </w:t>
      </w:r>
      <w:bookmarkStart w:id="0" w:name="_GoBack"/>
      <w:bookmarkEnd w:id="0"/>
      <w:r w:rsidRPr="002E68C5">
        <w:rPr>
          <w:rFonts w:asciiTheme="minorHAnsi" w:hAnsiTheme="minorHAnsi"/>
        </w:rPr>
        <w:t xml:space="preserve">na mailovú adresu uvedenú v cenovej ponuke v zmysle </w:t>
      </w:r>
      <w:r w:rsidRPr="002E68C5">
        <w:rPr>
          <w:rFonts w:asciiTheme="minorHAnsi" w:hAnsiTheme="minorHAnsi"/>
          <w:b/>
        </w:rPr>
        <w:t xml:space="preserve">Prílohy č. 1. </w:t>
      </w:r>
      <w:r w:rsidRPr="002E68C5">
        <w:rPr>
          <w:rFonts w:asciiTheme="minorHAnsi" w:hAnsiTheme="minorHAnsi"/>
          <w:bCs/>
        </w:rPr>
        <w:t xml:space="preserve">Odovzdanie predmetu zákazky </w:t>
      </w:r>
      <w:r w:rsidR="0065683A" w:rsidRPr="002E68C5">
        <w:rPr>
          <w:rFonts w:asciiTheme="minorHAnsi" w:hAnsiTheme="minorHAnsi"/>
          <w:bCs/>
        </w:rPr>
        <w:t>uveden</w:t>
      </w:r>
      <w:r w:rsidR="0055707D" w:rsidRPr="002E68C5">
        <w:rPr>
          <w:rFonts w:asciiTheme="minorHAnsi" w:hAnsiTheme="minorHAnsi"/>
          <w:bCs/>
        </w:rPr>
        <w:t>ého</w:t>
      </w:r>
      <w:r w:rsidR="0065683A" w:rsidRPr="002E68C5">
        <w:rPr>
          <w:rFonts w:asciiTheme="minorHAnsi" w:hAnsiTheme="minorHAnsi"/>
          <w:bCs/>
        </w:rPr>
        <w:t xml:space="preserve"> v bodoch 1</w:t>
      </w:r>
      <w:r w:rsidR="00D702F6" w:rsidRPr="002E68C5">
        <w:rPr>
          <w:rFonts w:asciiTheme="minorHAnsi" w:hAnsiTheme="minorHAnsi"/>
          <w:bCs/>
        </w:rPr>
        <w:t>.</w:t>
      </w:r>
      <w:r w:rsidR="002E68C5">
        <w:rPr>
          <w:rFonts w:asciiTheme="minorHAnsi" w:hAnsiTheme="minorHAnsi"/>
          <w:bCs/>
        </w:rPr>
        <w:t xml:space="preserve"> </w:t>
      </w:r>
      <w:r w:rsidR="002A74B1" w:rsidRPr="002E68C5">
        <w:rPr>
          <w:rFonts w:asciiTheme="minorHAnsi" w:hAnsiTheme="minorHAnsi"/>
          <w:bCs/>
        </w:rPr>
        <w:t>a</w:t>
      </w:r>
      <w:r w:rsidR="002E68C5">
        <w:rPr>
          <w:rFonts w:asciiTheme="minorHAnsi" w:hAnsiTheme="minorHAnsi"/>
          <w:bCs/>
        </w:rPr>
        <w:t xml:space="preserve"> </w:t>
      </w:r>
      <w:r w:rsidR="002A74B1" w:rsidRPr="002E68C5">
        <w:rPr>
          <w:rFonts w:asciiTheme="minorHAnsi" w:hAnsiTheme="minorHAnsi"/>
          <w:bCs/>
        </w:rPr>
        <w:t>2</w:t>
      </w:r>
      <w:r w:rsidR="00D702F6" w:rsidRPr="002E68C5">
        <w:rPr>
          <w:rFonts w:asciiTheme="minorHAnsi" w:hAnsiTheme="minorHAnsi"/>
          <w:bCs/>
        </w:rPr>
        <w:t>.</w:t>
      </w:r>
      <w:r w:rsidR="0065683A" w:rsidRPr="002E68C5">
        <w:rPr>
          <w:rFonts w:asciiTheme="minorHAnsi" w:hAnsiTheme="minorHAnsi"/>
          <w:bCs/>
        </w:rPr>
        <w:t xml:space="preserve"> </w:t>
      </w:r>
      <w:r w:rsidR="0055707D" w:rsidRPr="002E68C5">
        <w:rPr>
          <w:rFonts w:asciiTheme="minorHAnsi" w:hAnsiTheme="minorHAnsi"/>
          <w:bCs/>
        </w:rPr>
        <w:t xml:space="preserve">tejto Výzvy </w:t>
      </w:r>
      <w:r w:rsidRPr="002E68C5">
        <w:rPr>
          <w:rFonts w:asciiTheme="minorHAnsi" w:hAnsiTheme="minorHAnsi"/>
          <w:bCs/>
        </w:rPr>
        <w:t xml:space="preserve">nastane dňom podpisu </w:t>
      </w:r>
      <w:r w:rsidR="00D702F6" w:rsidRPr="002E68C5">
        <w:rPr>
          <w:rFonts w:asciiTheme="minorHAnsi" w:hAnsiTheme="minorHAnsi"/>
          <w:bCs/>
        </w:rPr>
        <w:t xml:space="preserve">Akceptačného </w:t>
      </w:r>
      <w:r w:rsidRPr="002E68C5">
        <w:rPr>
          <w:rFonts w:asciiTheme="minorHAnsi" w:hAnsiTheme="minorHAnsi"/>
          <w:bCs/>
        </w:rPr>
        <w:t>protokolu zodpovednými zástupcami oboch strán.</w:t>
      </w:r>
      <w:r w:rsidR="00AB7803" w:rsidRPr="00663F25">
        <w:rPr>
          <w:rFonts w:asciiTheme="minorHAnsi" w:hAnsiTheme="minorHAnsi"/>
          <w:bCs/>
        </w:rPr>
        <w:t xml:space="preserve"> </w:t>
      </w:r>
    </w:p>
    <w:p w14:paraId="6FCAC14B" w14:textId="0C6163AE" w:rsidR="00570CE6" w:rsidRDefault="00570CE6" w:rsidP="008B512C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506654D4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Lehota na predkladanie ponúk:</w:t>
      </w:r>
    </w:p>
    <w:p w14:paraId="53AE807F" w14:textId="77777777" w:rsidR="00A43D96" w:rsidRPr="00663F25" w:rsidRDefault="00A43D96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7324725D" w14:textId="5134579A" w:rsidR="00570CE6" w:rsidRPr="00663F25" w:rsidRDefault="0070051C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7</w:t>
      </w:r>
      <w:r w:rsidR="00570CE6" w:rsidRPr="00663F25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  <w:r w:rsidR="00866F37">
        <w:rPr>
          <w:rFonts w:asciiTheme="minorHAnsi" w:hAnsiTheme="minorHAnsi" w:cs="Times New Roman"/>
          <w:b/>
          <w:color w:val="auto"/>
          <w:sz w:val="22"/>
          <w:szCs w:val="22"/>
        </w:rPr>
        <w:t>7</w:t>
      </w:r>
      <w:r w:rsidR="00570CE6" w:rsidRPr="00663F25">
        <w:rPr>
          <w:rFonts w:asciiTheme="minorHAnsi" w:hAnsiTheme="minorHAnsi" w:cs="Times New Roman"/>
          <w:b/>
          <w:color w:val="auto"/>
          <w:sz w:val="22"/>
          <w:szCs w:val="22"/>
        </w:rPr>
        <w:t>.202</w:t>
      </w:r>
      <w:r w:rsidR="00663F25" w:rsidRPr="00663F25">
        <w:rPr>
          <w:rFonts w:asciiTheme="minorHAnsi" w:hAnsiTheme="minorHAnsi" w:cs="Times New Roman"/>
          <w:b/>
          <w:color w:val="auto"/>
          <w:sz w:val="22"/>
          <w:szCs w:val="22"/>
        </w:rPr>
        <w:t>1</w:t>
      </w:r>
    </w:p>
    <w:p w14:paraId="31C9542F" w14:textId="77777777" w:rsidR="00A43D96" w:rsidRPr="00663F25" w:rsidRDefault="00A43D96" w:rsidP="008B512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1095E86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Forma a spôsob predloženia ponúk:</w:t>
      </w:r>
    </w:p>
    <w:p w14:paraId="7525373C" w14:textId="77777777" w:rsidR="00663F25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Ponuky </w:t>
      </w:r>
      <w:r w:rsidR="00663F25" w:rsidRPr="00663F25">
        <w:rPr>
          <w:rFonts w:asciiTheme="minorHAnsi" w:hAnsiTheme="minorHAnsi" w:cs="Times New Roman"/>
          <w:sz w:val="22"/>
          <w:szCs w:val="22"/>
        </w:rPr>
        <w:t>verejný obstarávateľ</w:t>
      </w:r>
      <w:r w:rsidR="00A43D96" w:rsidRPr="00663F25">
        <w:rPr>
          <w:rFonts w:asciiTheme="minorHAnsi" w:hAnsiTheme="minorHAnsi" w:cs="Times New Roman"/>
          <w:sz w:val="22"/>
          <w:szCs w:val="22"/>
        </w:rPr>
        <w:t xml:space="preserve"> </w:t>
      </w:r>
      <w:r w:rsidRPr="00663F25">
        <w:rPr>
          <w:rFonts w:asciiTheme="minorHAnsi" w:hAnsiTheme="minorHAnsi" w:cs="Times New Roman"/>
          <w:sz w:val="22"/>
          <w:szCs w:val="22"/>
        </w:rPr>
        <w:t>žiada doručiť mailom na adresu:</w:t>
      </w:r>
    </w:p>
    <w:p w14:paraId="6F7C1770" w14:textId="37D5E2B2" w:rsidR="00570CE6" w:rsidRPr="00663F25" w:rsidRDefault="0070051C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hyperlink r:id="rId9" w:history="1">
        <w:r w:rsidR="00570CE6" w:rsidRPr="00663F25">
          <w:rPr>
            <w:rStyle w:val="Hypertextovprepojenie"/>
            <w:rFonts w:asciiTheme="minorHAnsi" w:hAnsiTheme="minorHAnsi" w:cs="Times New Roman"/>
            <w:sz w:val="22"/>
            <w:szCs w:val="22"/>
          </w:rPr>
          <w:t>obstaravanie@konsolidacna.sk</w:t>
        </w:r>
      </w:hyperlink>
      <w:r w:rsidR="00570CE6" w:rsidRPr="00663F2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E5BFC1D" w14:textId="77777777" w:rsidR="00570CE6" w:rsidRPr="00663F25" w:rsidRDefault="00570CE6" w:rsidP="008B512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19E3A1FB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Dôvody zrušenia zadania zákazky:</w:t>
      </w:r>
    </w:p>
    <w:p w14:paraId="4CC9CB90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nebola predložená ani jedna ponuka,</w:t>
      </w:r>
    </w:p>
    <w:p w14:paraId="749321AF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ani jeden z uchádzačov nesplnil podmienky výzvy,</w:t>
      </w:r>
    </w:p>
    <w:p w14:paraId="4B8036A0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ani jedna z ponúk nevyhovuje požiadavkám verejného obstarávateľa,</w:t>
      </w:r>
    </w:p>
    <w:p w14:paraId="10BC824D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sa zmenili okolnosti, za ktorých bolo obstarávanie vyhlásené.</w:t>
      </w:r>
    </w:p>
    <w:p w14:paraId="2ADF8636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Verejný obstarávateľ si vyhradzuje právo odmietnuť všetky predložené ponuky. </w:t>
      </w:r>
    </w:p>
    <w:p w14:paraId="5C2C8EF8" w14:textId="77777777" w:rsidR="00570CE6" w:rsidRPr="00663F25" w:rsidRDefault="00570CE6" w:rsidP="008B512C">
      <w:pPr>
        <w:pStyle w:val="Bezriadkovania"/>
        <w:jc w:val="both"/>
        <w:rPr>
          <w:rFonts w:asciiTheme="minorHAnsi" w:hAnsiTheme="minorHAnsi"/>
        </w:rPr>
      </w:pPr>
    </w:p>
    <w:p w14:paraId="3475B9A1" w14:textId="77777777" w:rsidR="00570CE6" w:rsidRPr="00663F25" w:rsidRDefault="00570CE6" w:rsidP="00570CE6">
      <w:pPr>
        <w:pStyle w:val="Bezriadkovania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 xml:space="preserve">Príloha č. 1: </w:t>
      </w:r>
      <w:r w:rsidRPr="00663F25">
        <w:rPr>
          <w:rFonts w:asciiTheme="minorHAnsi" w:hAnsiTheme="minorHAnsi"/>
        </w:rPr>
        <w:tab/>
        <w:t>Cenová ponuka</w:t>
      </w:r>
    </w:p>
    <w:sectPr w:rsidR="00570CE6" w:rsidRPr="00663F25" w:rsidSect="00963F96">
      <w:footerReference w:type="default" r:id="rId10"/>
      <w:pgSz w:w="11906" w:h="16838"/>
      <w:pgMar w:top="1418" w:right="1418" w:bottom="1418" w:left="1191" w:header="425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8953" w14:textId="77777777" w:rsidR="00DB3855" w:rsidRDefault="00DB3855" w:rsidP="00801EBB">
      <w:pPr>
        <w:spacing w:after="0" w:line="240" w:lineRule="auto"/>
      </w:pPr>
      <w:r>
        <w:separator/>
      </w:r>
    </w:p>
  </w:endnote>
  <w:endnote w:type="continuationSeparator" w:id="0">
    <w:p w14:paraId="50C59BD1" w14:textId="77777777" w:rsidR="00DB3855" w:rsidRDefault="00DB385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28905"/>
      <w:docPartObj>
        <w:docPartGallery w:val="Page Numbers (Bottom of Page)"/>
        <w:docPartUnique/>
      </w:docPartObj>
    </w:sdtPr>
    <w:sdtEndPr/>
    <w:sdtContent>
      <w:p w14:paraId="3ABB386E" w14:textId="57283E99" w:rsidR="0030766A" w:rsidRDefault="003076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1C">
          <w:rPr>
            <w:noProof/>
          </w:rPr>
          <w:t>7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6D51" w14:textId="77777777" w:rsidR="00DB3855" w:rsidRDefault="00DB3855" w:rsidP="00801EBB">
      <w:pPr>
        <w:spacing w:after="0" w:line="240" w:lineRule="auto"/>
      </w:pPr>
      <w:r>
        <w:separator/>
      </w:r>
    </w:p>
  </w:footnote>
  <w:footnote w:type="continuationSeparator" w:id="0">
    <w:p w14:paraId="094D9732" w14:textId="77777777" w:rsidR="00DB3855" w:rsidRDefault="00DB385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5" w15:restartNumberingAfterBreak="0">
    <w:nsid w:val="455F0085"/>
    <w:multiLevelType w:val="hybridMultilevel"/>
    <w:tmpl w:val="390E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E4276"/>
    <w:multiLevelType w:val="multilevel"/>
    <w:tmpl w:val="C52E2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9"/>
  </w:num>
  <w:num w:numId="13">
    <w:abstractNumId w:val="23"/>
  </w:num>
  <w:num w:numId="14">
    <w:abstractNumId w:val="11"/>
  </w:num>
  <w:num w:numId="15">
    <w:abstractNumId w:val="39"/>
  </w:num>
  <w:num w:numId="16">
    <w:abstractNumId w:val="10"/>
  </w:num>
  <w:num w:numId="17">
    <w:abstractNumId w:val="13"/>
  </w:num>
  <w:num w:numId="18">
    <w:abstractNumId w:val="5"/>
  </w:num>
  <w:num w:numId="19">
    <w:abstractNumId w:val="38"/>
  </w:num>
  <w:num w:numId="20">
    <w:abstractNumId w:val="32"/>
  </w:num>
  <w:num w:numId="21">
    <w:abstractNumId w:val="29"/>
  </w:num>
  <w:num w:numId="22">
    <w:abstractNumId w:val="3"/>
  </w:num>
  <w:num w:numId="23">
    <w:abstractNumId w:val="7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35"/>
  </w:num>
  <w:num w:numId="26">
    <w:abstractNumId w:val="37"/>
  </w:num>
  <w:num w:numId="27">
    <w:abstractNumId w:val="35"/>
    <w:lvlOverride w:ilvl="0">
      <w:startOverride w:val="1"/>
    </w:lvlOverride>
  </w:num>
  <w:num w:numId="28">
    <w:abstractNumId w:val="14"/>
  </w:num>
  <w:num w:numId="29">
    <w:abstractNumId w:val="34"/>
  </w:num>
  <w:num w:numId="30">
    <w:abstractNumId w:val="21"/>
  </w:num>
  <w:num w:numId="31">
    <w:abstractNumId w:val="24"/>
  </w:num>
  <w:num w:numId="32">
    <w:abstractNumId w:val="2"/>
  </w:num>
  <w:num w:numId="33">
    <w:abstractNumId w:val="28"/>
  </w:num>
  <w:num w:numId="34">
    <w:abstractNumId w:val="26"/>
  </w:num>
  <w:num w:numId="35">
    <w:abstractNumId w:val="1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3"/>
  </w:num>
  <w:num w:numId="40">
    <w:abstractNumId w:val="36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1B9D"/>
    <w:rsid w:val="00003EE0"/>
    <w:rsid w:val="00005D54"/>
    <w:rsid w:val="000175C8"/>
    <w:rsid w:val="000211F7"/>
    <w:rsid w:val="000230F6"/>
    <w:rsid w:val="000248C8"/>
    <w:rsid w:val="00025328"/>
    <w:rsid w:val="00025C75"/>
    <w:rsid w:val="00026D26"/>
    <w:rsid w:val="00033A52"/>
    <w:rsid w:val="00033DC0"/>
    <w:rsid w:val="00034D87"/>
    <w:rsid w:val="0003555E"/>
    <w:rsid w:val="0004025E"/>
    <w:rsid w:val="0004275D"/>
    <w:rsid w:val="00042F53"/>
    <w:rsid w:val="00047C3B"/>
    <w:rsid w:val="00055F47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D9C"/>
    <w:rsid w:val="0009728C"/>
    <w:rsid w:val="000A061D"/>
    <w:rsid w:val="000A37A9"/>
    <w:rsid w:val="000A6554"/>
    <w:rsid w:val="000A7639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F69B0"/>
    <w:rsid w:val="00203F14"/>
    <w:rsid w:val="00206E55"/>
    <w:rsid w:val="00207A54"/>
    <w:rsid w:val="002107D6"/>
    <w:rsid w:val="00210A4C"/>
    <w:rsid w:val="0021128B"/>
    <w:rsid w:val="002128B2"/>
    <w:rsid w:val="00212C23"/>
    <w:rsid w:val="00212E81"/>
    <w:rsid w:val="00214230"/>
    <w:rsid w:val="00220E5D"/>
    <w:rsid w:val="00222116"/>
    <w:rsid w:val="00222F3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697F"/>
    <w:rsid w:val="002A0671"/>
    <w:rsid w:val="002A2CA6"/>
    <w:rsid w:val="002A74B1"/>
    <w:rsid w:val="002B3A4E"/>
    <w:rsid w:val="002B64E0"/>
    <w:rsid w:val="002C1B9F"/>
    <w:rsid w:val="002C27CB"/>
    <w:rsid w:val="002C3D7C"/>
    <w:rsid w:val="002D07CC"/>
    <w:rsid w:val="002D38E6"/>
    <w:rsid w:val="002E1864"/>
    <w:rsid w:val="002E3483"/>
    <w:rsid w:val="002E68C5"/>
    <w:rsid w:val="002E6DC9"/>
    <w:rsid w:val="0030766A"/>
    <w:rsid w:val="00310D54"/>
    <w:rsid w:val="00316009"/>
    <w:rsid w:val="00316344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20AE"/>
    <w:rsid w:val="00366E4A"/>
    <w:rsid w:val="00372FA3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25C"/>
    <w:rsid w:val="003C2BE1"/>
    <w:rsid w:val="003C3C4B"/>
    <w:rsid w:val="003C71A0"/>
    <w:rsid w:val="003D3028"/>
    <w:rsid w:val="003D5C9D"/>
    <w:rsid w:val="003E0582"/>
    <w:rsid w:val="003E1980"/>
    <w:rsid w:val="003E2A8A"/>
    <w:rsid w:val="003E35F4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3D8D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013F"/>
    <w:rsid w:val="005241C4"/>
    <w:rsid w:val="005263A7"/>
    <w:rsid w:val="00527829"/>
    <w:rsid w:val="005309E9"/>
    <w:rsid w:val="005317DC"/>
    <w:rsid w:val="00536FF3"/>
    <w:rsid w:val="0053736E"/>
    <w:rsid w:val="00540249"/>
    <w:rsid w:val="005438A5"/>
    <w:rsid w:val="00545C3E"/>
    <w:rsid w:val="005471C5"/>
    <w:rsid w:val="0055707D"/>
    <w:rsid w:val="0056193C"/>
    <w:rsid w:val="00561D53"/>
    <w:rsid w:val="005638B3"/>
    <w:rsid w:val="00570CE6"/>
    <w:rsid w:val="00574EF3"/>
    <w:rsid w:val="0058423F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5683A"/>
    <w:rsid w:val="00661877"/>
    <w:rsid w:val="00663F25"/>
    <w:rsid w:val="00666768"/>
    <w:rsid w:val="00667422"/>
    <w:rsid w:val="00675336"/>
    <w:rsid w:val="00680043"/>
    <w:rsid w:val="00685ADC"/>
    <w:rsid w:val="00693864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4E78"/>
    <w:rsid w:val="006D523D"/>
    <w:rsid w:val="006E0800"/>
    <w:rsid w:val="006E2526"/>
    <w:rsid w:val="006F0F6C"/>
    <w:rsid w:val="006F243D"/>
    <w:rsid w:val="0070051C"/>
    <w:rsid w:val="007018A1"/>
    <w:rsid w:val="007028D4"/>
    <w:rsid w:val="00711944"/>
    <w:rsid w:val="00712F9D"/>
    <w:rsid w:val="00715064"/>
    <w:rsid w:val="00716C60"/>
    <w:rsid w:val="00721773"/>
    <w:rsid w:val="00731C9C"/>
    <w:rsid w:val="007321EF"/>
    <w:rsid w:val="00733343"/>
    <w:rsid w:val="007350B8"/>
    <w:rsid w:val="00735B54"/>
    <w:rsid w:val="00736EA7"/>
    <w:rsid w:val="00737868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B98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7F626F"/>
    <w:rsid w:val="00801EBB"/>
    <w:rsid w:val="00810B63"/>
    <w:rsid w:val="00812C96"/>
    <w:rsid w:val="0081321D"/>
    <w:rsid w:val="00813C39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66F37"/>
    <w:rsid w:val="00870241"/>
    <w:rsid w:val="00872336"/>
    <w:rsid w:val="00880AB0"/>
    <w:rsid w:val="00886CD3"/>
    <w:rsid w:val="00893FD7"/>
    <w:rsid w:val="00894FD7"/>
    <w:rsid w:val="008A2320"/>
    <w:rsid w:val="008A6A90"/>
    <w:rsid w:val="008B326C"/>
    <w:rsid w:val="008B3D6D"/>
    <w:rsid w:val="008B512C"/>
    <w:rsid w:val="008C06CA"/>
    <w:rsid w:val="008C376D"/>
    <w:rsid w:val="008C3D1B"/>
    <w:rsid w:val="008C4577"/>
    <w:rsid w:val="008C70E9"/>
    <w:rsid w:val="008D0050"/>
    <w:rsid w:val="008D24D8"/>
    <w:rsid w:val="008D7966"/>
    <w:rsid w:val="008D7B5E"/>
    <w:rsid w:val="008E3CFA"/>
    <w:rsid w:val="008F49AC"/>
    <w:rsid w:val="008F4A3B"/>
    <w:rsid w:val="00910E99"/>
    <w:rsid w:val="009172EC"/>
    <w:rsid w:val="00920128"/>
    <w:rsid w:val="00922BF2"/>
    <w:rsid w:val="00922CD9"/>
    <w:rsid w:val="009237D4"/>
    <w:rsid w:val="00925925"/>
    <w:rsid w:val="00927DAE"/>
    <w:rsid w:val="009308C1"/>
    <w:rsid w:val="0093129B"/>
    <w:rsid w:val="00932726"/>
    <w:rsid w:val="00937ED7"/>
    <w:rsid w:val="00940BD0"/>
    <w:rsid w:val="00942B08"/>
    <w:rsid w:val="009437F1"/>
    <w:rsid w:val="00943B4B"/>
    <w:rsid w:val="00950D63"/>
    <w:rsid w:val="0095526C"/>
    <w:rsid w:val="00957A9A"/>
    <w:rsid w:val="00961E28"/>
    <w:rsid w:val="00963F96"/>
    <w:rsid w:val="0096707F"/>
    <w:rsid w:val="00967DB5"/>
    <w:rsid w:val="00976FE7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2CD2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43D96"/>
    <w:rsid w:val="00A52B0D"/>
    <w:rsid w:val="00A535D4"/>
    <w:rsid w:val="00A60ED6"/>
    <w:rsid w:val="00A635E4"/>
    <w:rsid w:val="00A64822"/>
    <w:rsid w:val="00A657F2"/>
    <w:rsid w:val="00A67FEC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B7803"/>
    <w:rsid w:val="00AC032C"/>
    <w:rsid w:val="00AC4E49"/>
    <w:rsid w:val="00AC6045"/>
    <w:rsid w:val="00AC65BB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339A2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34A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001"/>
    <w:rsid w:val="00BE6253"/>
    <w:rsid w:val="00BF0AF7"/>
    <w:rsid w:val="00C14651"/>
    <w:rsid w:val="00C231D6"/>
    <w:rsid w:val="00C2473F"/>
    <w:rsid w:val="00C27441"/>
    <w:rsid w:val="00C27B38"/>
    <w:rsid w:val="00C30035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64D36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AFC"/>
    <w:rsid w:val="00CF0BCA"/>
    <w:rsid w:val="00CF330B"/>
    <w:rsid w:val="00CF4E76"/>
    <w:rsid w:val="00CF5BA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02F6"/>
    <w:rsid w:val="00D71E7D"/>
    <w:rsid w:val="00D722AD"/>
    <w:rsid w:val="00D738D5"/>
    <w:rsid w:val="00D81A0F"/>
    <w:rsid w:val="00D838A3"/>
    <w:rsid w:val="00D83EFE"/>
    <w:rsid w:val="00D86EDF"/>
    <w:rsid w:val="00D907AD"/>
    <w:rsid w:val="00D947AE"/>
    <w:rsid w:val="00DA183B"/>
    <w:rsid w:val="00DA3C5E"/>
    <w:rsid w:val="00DA3CC4"/>
    <w:rsid w:val="00DA45FD"/>
    <w:rsid w:val="00DA5383"/>
    <w:rsid w:val="00DA55BE"/>
    <w:rsid w:val="00DB1708"/>
    <w:rsid w:val="00DB32D9"/>
    <w:rsid w:val="00DB3855"/>
    <w:rsid w:val="00DB44E5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175D7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5CEA"/>
    <w:rsid w:val="00FB6CC3"/>
    <w:rsid w:val="00FB7031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0E9F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ibarszki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0390-98AA-4BA3-9E61-7694B2F1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2808</Words>
  <Characters>16008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18779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9</cp:revision>
  <cp:lastPrinted>2020-06-25T06:19:00Z</cp:lastPrinted>
  <dcterms:created xsi:type="dcterms:W3CDTF">2021-01-20T08:05:00Z</dcterms:created>
  <dcterms:modified xsi:type="dcterms:W3CDTF">2021-06-26T05:24:00Z</dcterms:modified>
</cp:coreProperties>
</file>